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spacing w:val="-20"/>
          <w:sz w:val="44"/>
          <w:szCs w:val="44"/>
        </w:rPr>
      </w:pPr>
    </w:p>
    <w:p>
      <w:pPr>
        <w:jc w:val="center"/>
        <w:rPr>
          <w:rFonts w:eastAsia="宋体"/>
          <w:b/>
          <w:color w:val="000000" w:themeColor="text1"/>
          <w:spacing w:val="-20"/>
          <w:sz w:val="44"/>
          <w:szCs w:val="44"/>
          <w14:textFill>
            <w14:solidFill>
              <w14:schemeClr w14:val="tx1"/>
            </w14:solidFill>
          </w14:textFill>
        </w:rPr>
      </w:pPr>
    </w:p>
    <w:p>
      <w:pPr>
        <w:jc w:val="center"/>
        <w:rPr>
          <w:rFonts w:hint="default" w:eastAsia="宋体"/>
          <w:b/>
          <w:color w:val="000000" w:themeColor="text1"/>
          <w:spacing w:val="-20"/>
          <w:sz w:val="44"/>
          <w:szCs w:val="44"/>
          <w:lang w:val="en-US" w:eastAsia="zh-CN"/>
          <w14:textFill>
            <w14:solidFill>
              <w14:schemeClr w14:val="tx1"/>
            </w14:solidFill>
          </w14:textFill>
        </w:rPr>
      </w:pPr>
      <w:r>
        <w:rPr>
          <w:rFonts w:hint="eastAsia" w:eastAsia="宋体"/>
          <w:b/>
          <w:color w:val="000000" w:themeColor="text1"/>
          <w:spacing w:val="-20"/>
          <w:sz w:val="44"/>
          <w:szCs w:val="44"/>
          <w14:textFill>
            <w14:solidFill>
              <w14:schemeClr w14:val="tx1"/>
            </w14:solidFill>
          </w14:textFill>
        </w:rPr>
        <w:t>安徽省第二人民医院新媒体</w:t>
      </w:r>
      <w:r>
        <w:rPr>
          <w:rFonts w:hint="eastAsia" w:eastAsia="宋体"/>
          <w:b/>
          <w:color w:val="000000" w:themeColor="text1"/>
          <w:spacing w:val="-20"/>
          <w:sz w:val="44"/>
          <w:szCs w:val="44"/>
          <w:lang w:val="en-US" w:eastAsia="zh-CN"/>
          <w14:textFill>
            <w14:solidFill>
              <w14:schemeClr w14:val="tx1"/>
            </w14:solidFill>
          </w14:textFill>
        </w:rPr>
        <w:t>运维服务</w:t>
      </w:r>
    </w:p>
    <w:p>
      <w:pPr>
        <w:jc w:val="center"/>
        <w:rPr>
          <w:rFonts w:hint="default" w:eastAsia="宋体"/>
          <w:b/>
          <w:color w:val="000000" w:themeColor="text1"/>
          <w:spacing w:val="-20"/>
          <w:sz w:val="44"/>
          <w:szCs w:val="44"/>
          <w:lang w:val="en-US"/>
          <w14:textFill>
            <w14:solidFill>
              <w14:schemeClr w14:val="tx1"/>
            </w14:solidFill>
          </w14:textFill>
        </w:rPr>
      </w:pPr>
      <w:r>
        <w:rPr>
          <w:rFonts w:hint="eastAsia" w:asciiTheme="majorEastAsia" w:hAnsiTheme="majorEastAsia" w:eastAsiaTheme="majorEastAsia" w:cstheme="majorEastAsia"/>
          <w:b/>
          <w:bCs/>
          <w:kern w:val="0"/>
          <w:sz w:val="44"/>
          <w:szCs w:val="44"/>
          <w:lang w:val="en-US" w:eastAsia="zh-CN"/>
        </w:rPr>
        <w:t>采购</w:t>
      </w:r>
      <w:r>
        <w:rPr>
          <w:rFonts w:hint="eastAsia" w:eastAsia="宋体"/>
          <w:b/>
          <w:color w:val="000000" w:themeColor="text1"/>
          <w:spacing w:val="-20"/>
          <w:sz w:val="44"/>
          <w:szCs w:val="44"/>
          <w:lang w:val="en-US" w:eastAsia="zh-CN"/>
          <w14:textFill>
            <w14:solidFill>
              <w14:schemeClr w14:val="tx1"/>
            </w14:solidFill>
          </w14:textFill>
        </w:rPr>
        <w:t>项目</w:t>
      </w:r>
    </w:p>
    <w:p>
      <w:pPr>
        <w:spacing w:line="1600" w:lineRule="exact"/>
        <w:jc w:val="both"/>
        <w:rPr>
          <w:rFonts w:hint="eastAsia" w:ascii="宋体" w:hAnsi="宋体" w:eastAsia="宋体"/>
          <w:b/>
          <w:bCs/>
          <w:color w:val="000000" w:themeColor="text1"/>
          <w:sz w:val="84"/>
          <w:szCs w:val="84"/>
          <w:lang w:val="en-US" w:eastAsia="zh-CN"/>
          <w14:textFill>
            <w14:solidFill>
              <w14:schemeClr w14:val="tx1"/>
            </w14:solidFill>
          </w14:textFill>
        </w:rPr>
      </w:pPr>
    </w:p>
    <w:p>
      <w:pPr>
        <w:spacing w:line="1600" w:lineRule="exact"/>
        <w:jc w:val="center"/>
        <w:rPr>
          <w:rFonts w:ascii="宋体" w:hAnsi="宋体" w:eastAsia="宋体"/>
          <w:b/>
          <w:bCs/>
          <w:color w:val="000000" w:themeColor="text1"/>
          <w:sz w:val="84"/>
          <w:szCs w:val="84"/>
          <w14:textFill>
            <w14:solidFill>
              <w14:schemeClr w14:val="tx1"/>
            </w14:solidFill>
          </w14:textFill>
        </w:rPr>
      </w:pPr>
      <w:r>
        <w:rPr>
          <w:rFonts w:hint="eastAsia" w:ascii="宋体" w:hAnsi="宋体" w:eastAsia="宋体"/>
          <w:b/>
          <w:bCs/>
          <w:color w:val="000000" w:themeColor="text1"/>
          <w:sz w:val="84"/>
          <w:szCs w:val="84"/>
          <w:lang w:val="en-US" w:eastAsia="zh-CN"/>
          <w14:textFill>
            <w14:solidFill>
              <w14:schemeClr w14:val="tx1"/>
            </w14:solidFill>
          </w14:textFill>
        </w:rPr>
        <w:t>招标</w:t>
      </w:r>
      <w:r>
        <w:rPr>
          <w:rFonts w:hint="eastAsia" w:ascii="宋体" w:hAnsi="宋体" w:eastAsia="宋体"/>
          <w:b/>
          <w:bCs/>
          <w:color w:val="000000" w:themeColor="text1"/>
          <w:sz w:val="84"/>
          <w:szCs w:val="84"/>
          <w14:textFill>
            <w14:solidFill>
              <w14:schemeClr w14:val="tx1"/>
            </w14:solidFill>
          </w14:textFill>
        </w:rPr>
        <w:t>文件</w:t>
      </w:r>
    </w:p>
    <w:p>
      <w:pPr>
        <w:rPr>
          <w:rFonts w:ascii="宋体" w:hAnsi="宋体" w:eastAsia="宋体"/>
          <w:bCs/>
          <w:color w:val="000000" w:themeColor="text1"/>
          <w:sz w:val="24"/>
          <w14:textFill>
            <w14:solidFill>
              <w14:schemeClr w14:val="tx1"/>
            </w14:solidFill>
          </w14:textFill>
        </w:rPr>
      </w:pPr>
    </w:p>
    <w:p>
      <w:pPr>
        <w:jc w:val="center"/>
        <w:rPr>
          <w:rFonts w:hint="eastAsia" w:ascii="宋体" w:hAnsi="宋体" w:eastAsia="宋体"/>
          <w:bCs/>
          <w:color w:val="000000" w:themeColor="text1"/>
          <w:sz w:val="30"/>
          <w:szCs w:val="30"/>
          <w14:textFill>
            <w14:solidFill>
              <w14:schemeClr w14:val="tx1"/>
            </w14:solidFill>
          </w14:textFill>
        </w:rPr>
      </w:pPr>
      <w:r>
        <w:rPr>
          <w:rFonts w:hint="eastAsia" w:ascii="宋体" w:hAnsi="宋体" w:eastAsia="宋体"/>
          <w:bCs/>
          <w:color w:val="000000" w:themeColor="text1"/>
          <w:sz w:val="30"/>
          <w:szCs w:val="30"/>
          <w14:textFill>
            <w14:solidFill>
              <w14:schemeClr w14:val="tx1"/>
            </w14:solidFill>
          </w14:textFill>
        </w:rPr>
        <w:t>项目编号：</w:t>
      </w:r>
    </w:p>
    <w:p>
      <w:pPr>
        <w:pStyle w:val="7"/>
        <w:numPr>
          <w:ilvl w:val="2"/>
          <w:numId w:val="0"/>
        </w:numPr>
        <w:tabs>
          <w:tab w:val="clear" w:pos="720"/>
        </w:tabs>
        <w:ind w:leftChars="0"/>
        <w:rPr>
          <w:rFonts w:hint="default"/>
          <w:lang w:val="en-US" w:eastAsia="zh-CN"/>
        </w:rPr>
      </w:pPr>
      <w:bookmarkStart w:id="8" w:name="_GoBack"/>
      <w:bookmarkEnd w:id="8"/>
    </w:p>
    <w:p>
      <w:pPr>
        <w:jc w:val="center"/>
        <w:rPr>
          <w:rFonts w:ascii="宋体" w:hAnsi="宋体" w:eastAsia="宋体"/>
          <w:bCs/>
          <w:color w:val="000000" w:themeColor="text1"/>
          <w:sz w:val="24"/>
          <w14:textFill>
            <w14:solidFill>
              <w14:schemeClr w14:val="tx1"/>
            </w14:solidFill>
          </w14:textFill>
        </w:rPr>
      </w:pPr>
    </w:p>
    <w:p>
      <w:pPr>
        <w:jc w:val="center"/>
        <w:rPr>
          <w:rFonts w:ascii="宋体" w:hAnsi="宋体" w:eastAsia="宋体"/>
          <w:bCs/>
          <w:color w:val="000000" w:themeColor="text1"/>
          <w:sz w:val="24"/>
          <w14:textFill>
            <w14:solidFill>
              <w14:schemeClr w14:val="tx1"/>
            </w14:solidFill>
          </w14:textFill>
        </w:rPr>
      </w:pPr>
    </w:p>
    <w:p>
      <w:pPr>
        <w:tabs>
          <w:tab w:val="center" w:pos="4818"/>
        </w:tabs>
        <w:spacing w:line="0" w:lineRule="atLeast"/>
        <w:jc w:val="left"/>
        <w:rPr>
          <w:rFonts w:hint="eastAsia" w:ascii="宋体" w:hAnsi="宋体" w:eastAsia="宋体"/>
          <w:b/>
          <w:bCs/>
          <w:color w:val="000000" w:themeColor="text1"/>
          <w:sz w:val="44"/>
          <w:lang w:eastAsia="zh-CN"/>
          <w14:textFill>
            <w14:solidFill>
              <w14:schemeClr w14:val="tx1"/>
            </w14:solidFill>
          </w14:textFill>
        </w:rPr>
      </w:pPr>
    </w:p>
    <w:p>
      <w:pPr>
        <w:tabs>
          <w:tab w:val="center" w:pos="4818"/>
        </w:tabs>
        <w:spacing w:line="0" w:lineRule="atLeast"/>
        <w:jc w:val="left"/>
        <w:rPr>
          <w:rFonts w:ascii="宋体" w:hAnsi="宋体" w:eastAsia="宋体"/>
          <w:b/>
          <w:bCs/>
          <w:color w:val="000000" w:themeColor="text1"/>
          <w:sz w:val="44"/>
          <w14:textFill>
            <w14:solidFill>
              <w14:schemeClr w14:val="tx1"/>
            </w14:solidFill>
          </w14:textFill>
        </w:rPr>
      </w:pPr>
    </w:p>
    <w:p>
      <w:pPr>
        <w:pStyle w:val="8"/>
        <w:rPr>
          <w:color w:val="000000" w:themeColor="text1"/>
          <w14:textFill>
            <w14:solidFill>
              <w14:schemeClr w14:val="tx1"/>
            </w14:solidFill>
          </w14:textFill>
        </w:rPr>
      </w:pPr>
    </w:p>
    <w:p>
      <w:pPr>
        <w:tabs>
          <w:tab w:val="left" w:pos="5841"/>
        </w:tabs>
        <w:spacing w:line="0" w:lineRule="atLeast"/>
        <w:jc w:val="left"/>
        <w:rPr>
          <w:rFonts w:hint="eastAsia" w:ascii="宋体" w:hAnsi="宋体" w:eastAsia="宋体"/>
          <w:b/>
          <w:bCs/>
          <w:color w:val="000000" w:themeColor="text1"/>
          <w:sz w:val="44"/>
          <w:lang w:eastAsia="zh-CN"/>
          <w14:textFill>
            <w14:solidFill>
              <w14:schemeClr w14:val="tx1"/>
            </w14:solidFill>
          </w14:textFill>
        </w:rPr>
      </w:pPr>
      <w:r>
        <w:rPr>
          <w:rFonts w:hint="eastAsia" w:ascii="宋体" w:hAnsi="宋体" w:eastAsia="宋体"/>
          <w:b/>
          <w:bCs/>
          <w:color w:val="000000" w:themeColor="text1"/>
          <w:sz w:val="44"/>
          <w:lang w:eastAsia="zh-CN"/>
          <w14:textFill>
            <w14:solidFill>
              <w14:schemeClr w14:val="tx1"/>
            </w14:solidFill>
          </w14:textFill>
        </w:rPr>
        <w:tab/>
      </w:r>
    </w:p>
    <w:p>
      <w:pPr>
        <w:tabs>
          <w:tab w:val="center" w:pos="4818"/>
        </w:tabs>
        <w:spacing w:line="0" w:lineRule="atLeast"/>
        <w:jc w:val="left"/>
        <w:rPr>
          <w:rFonts w:ascii="宋体" w:hAnsi="宋体" w:eastAsia="宋体"/>
          <w:b/>
          <w:bCs/>
          <w:color w:val="000000" w:themeColor="text1"/>
          <w:sz w:val="44"/>
          <w14:textFill>
            <w14:solidFill>
              <w14:schemeClr w14:val="tx1"/>
            </w14:solidFill>
          </w14:textFill>
        </w:rPr>
      </w:pPr>
    </w:p>
    <w:p>
      <w:pPr>
        <w:tabs>
          <w:tab w:val="center" w:pos="4818"/>
        </w:tabs>
        <w:spacing w:line="0" w:lineRule="atLeast"/>
        <w:jc w:val="left"/>
        <w:rPr>
          <w:rFonts w:ascii="宋体" w:hAnsi="宋体" w:eastAsia="宋体"/>
          <w:b/>
          <w:bCs/>
          <w:color w:val="000000" w:themeColor="text1"/>
          <w:sz w:val="44"/>
          <w14:textFill>
            <w14:solidFill>
              <w14:schemeClr w14:val="tx1"/>
            </w14:solidFill>
          </w14:textFill>
        </w:rPr>
      </w:pPr>
    </w:p>
    <w:p>
      <w:pPr>
        <w:tabs>
          <w:tab w:val="center" w:pos="4818"/>
        </w:tabs>
        <w:spacing w:line="0" w:lineRule="atLeast"/>
        <w:jc w:val="left"/>
        <w:rPr>
          <w:rFonts w:ascii="宋体" w:hAnsi="宋体" w:eastAsia="宋体"/>
          <w:b/>
          <w:bCs/>
          <w:color w:val="000000" w:themeColor="text1"/>
          <w:sz w:val="44"/>
          <w14:textFill>
            <w14:solidFill>
              <w14:schemeClr w14:val="tx1"/>
            </w14:solidFill>
          </w14:textFill>
        </w:rPr>
      </w:pPr>
    </w:p>
    <w:p>
      <w:pPr>
        <w:tabs>
          <w:tab w:val="center" w:pos="4818"/>
        </w:tabs>
        <w:spacing w:line="480" w:lineRule="exact"/>
        <w:jc w:val="center"/>
        <w:rPr>
          <w:rFonts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招标人：安徽省第二人民医院</w:t>
      </w:r>
    </w:p>
    <w:p>
      <w:pPr>
        <w:tabs>
          <w:tab w:val="center" w:pos="4818"/>
        </w:tabs>
        <w:spacing w:line="480" w:lineRule="exact"/>
        <w:jc w:val="center"/>
        <w:rPr>
          <w:rFonts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二〇</w:t>
      </w:r>
      <w:r>
        <w:rPr>
          <w:rFonts w:hint="eastAsia" w:ascii="宋体" w:hAnsi="宋体" w:eastAsia="宋体"/>
          <w:b/>
          <w:bCs/>
          <w:color w:val="000000" w:themeColor="text1"/>
          <w:sz w:val="32"/>
          <w:szCs w:val="32"/>
          <w:lang w:val="en-US" w:eastAsia="zh-CN"/>
          <w14:textFill>
            <w14:solidFill>
              <w14:schemeClr w14:val="tx1"/>
            </w14:solidFill>
          </w14:textFill>
        </w:rPr>
        <w:t>二四</w:t>
      </w:r>
      <w:r>
        <w:rPr>
          <w:rFonts w:hint="eastAsia" w:ascii="宋体" w:hAnsi="宋体" w:eastAsia="宋体"/>
          <w:b/>
          <w:bCs/>
          <w:color w:val="000000" w:themeColor="text1"/>
          <w:sz w:val="32"/>
          <w:szCs w:val="32"/>
          <w14:textFill>
            <w14:solidFill>
              <w14:schemeClr w14:val="tx1"/>
            </w14:solidFill>
          </w14:textFill>
        </w:rPr>
        <w:t>年</w:t>
      </w:r>
      <w:r>
        <w:rPr>
          <w:rFonts w:hint="eastAsia" w:ascii="宋体" w:hAnsi="宋体" w:eastAsia="宋体"/>
          <w:b/>
          <w:bCs/>
          <w:color w:val="000000" w:themeColor="text1"/>
          <w:sz w:val="32"/>
          <w:szCs w:val="32"/>
          <w:lang w:val="en-US" w:eastAsia="zh-CN"/>
          <w14:textFill>
            <w14:solidFill>
              <w14:schemeClr w14:val="tx1"/>
            </w14:solidFill>
          </w14:textFill>
        </w:rPr>
        <w:t>五</w:t>
      </w:r>
      <w:r>
        <w:rPr>
          <w:rFonts w:hint="eastAsia" w:ascii="宋体" w:hAnsi="宋体" w:eastAsia="宋体"/>
          <w:b/>
          <w:bCs/>
          <w:color w:val="000000" w:themeColor="text1"/>
          <w:sz w:val="32"/>
          <w:szCs w:val="32"/>
          <w14:textFill>
            <w14:solidFill>
              <w14:schemeClr w14:val="tx1"/>
            </w14:solidFill>
          </w14:textFill>
        </w:rPr>
        <w:t>月</w:t>
      </w: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tabs>
          <w:tab w:val="left" w:pos="292"/>
          <w:tab w:val="center" w:pos="4818"/>
        </w:tabs>
        <w:spacing w:line="0" w:lineRule="atLeast"/>
        <w:jc w:val="both"/>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br w:type="page"/>
      </w:r>
    </w:p>
    <w:p>
      <w:pPr>
        <w:tabs>
          <w:tab w:val="left" w:pos="292"/>
          <w:tab w:val="center" w:pos="4818"/>
        </w:tabs>
        <w:spacing w:line="0" w:lineRule="atLeast"/>
        <w:jc w:val="center"/>
        <w:rPr>
          <w:rFonts w:hint="eastAsia" w:ascii="宋体" w:hAnsi="宋体" w:eastAsia="宋体"/>
          <w:b/>
          <w:bCs/>
          <w:color w:val="000000" w:themeColor="text1"/>
          <w:sz w:val="32"/>
          <w:szCs w:val="32"/>
          <w14:textFill>
            <w14:solidFill>
              <w14:schemeClr w14:val="tx1"/>
            </w14:solidFill>
          </w14:textFill>
        </w:rPr>
      </w:pPr>
    </w:p>
    <w:p>
      <w:pPr>
        <w:tabs>
          <w:tab w:val="left" w:pos="292"/>
          <w:tab w:val="center" w:pos="4818"/>
        </w:tabs>
        <w:spacing w:line="0" w:lineRule="atLeast"/>
        <w:jc w:val="center"/>
        <w:rPr>
          <w:rFonts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目    录</w:t>
      </w:r>
    </w:p>
    <w:p>
      <w:pPr>
        <w:tabs>
          <w:tab w:val="left" w:pos="292"/>
          <w:tab w:val="center" w:pos="4818"/>
        </w:tabs>
        <w:spacing w:line="0" w:lineRule="atLeast"/>
        <w:jc w:val="center"/>
        <w:rPr>
          <w:rFonts w:ascii="宋体" w:hAnsi="宋体" w:eastAsia="宋体"/>
          <w:color w:val="000000" w:themeColor="text1"/>
          <w:sz w:val="28"/>
          <w:szCs w:val="28"/>
          <w14:textFill>
            <w14:solidFill>
              <w14:schemeClr w14:val="tx1"/>
            </w14:solidFill>
          </w14:textFill>
        </w:rPr>
      </w:pPr>
    </w:p>
    <w:p>
      <w:pPr>
        <w:tabs>
          <w:tab w:val="left" w:pos="292"/>
          <w:tab w:val="center" w:pos="4818"/>
        </w:tabs>
        <w:spacing w:line="0" w:lineRule="atLeast"/>
        <w:rPr>
          <w:rFonts w:ascii="宋体" w:hAnsi="宋体" w:eastAsia="宋体"/>
          <w:b/>
          <w:bCs/>
          <w:color w:val="000000" w:themeColor="text1"/>
          <w:sz w:val="28"/>
          <w:szCs w:val="28"/>
          <w14:textFill>
            <w14:solidFill>
              <w14:schemeClr w14:val="tx1"/>
            </w14:solidFill>
          </w14:textFill>
        </w:rPr>
      </w:pPr>
    </w:p>
    <w:p>
      <w:pPr>
        <w:tabs>
          <w:tab w:val="left" w:pos="292"/>
          <w:tab w:val="center" w:pos="4818"/>
        </w:tabs>
        <w:spacing w:line="0" w:lineRule="atLeas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b/>
          <w:bCs/>
          <w:color w:val="000000" w:themeColor="text1"/>
          <w:sz w:val="28"/>
          <w:szCs w:val="28"/>
          <w:lang w:val="en-US" w:eastAsia="zh-CN"/>
          <w14:textFill>
            <w14:solidFill>
              <w14:schemeClr w14:val="tx1"/>
            </w14:solidFill>
          </w14:textFill>
        </w:rPr>
        <w:t>招标</w:t>
      </w:r>
      <w:r>
        <w:rPr>
          <w:rFonts w:hint="eastAsia" w:ascii="宋体" w:hAnsi="宋体" w:eastAsia="宋体"/>
          <w:b/>
          <w:bCs/>
          <w:color w:val="000000" w:themeColor="text1"/>
          <w:sz w:val="28"/>
          <w:szCs w:val="28"/>
          <w14:textFill>
            <w14:solidFill>
              <w14:schemeClr w14:val="tx1"/>
            </w14:solidFill>
          </w14:textFill>
        </w:rPr>
        <w:t>公告</w:t>
      </w:r>
      <w:r>
        <w:rPr>
          <w:rFonts w:ascii="宋体" w:hAnsi="宋体" w:eastAsia="宋体"/>
          <w:b/>
          <w:bCs/>
          <w:color w:val="000000" w:themeColor="text1"/>
          <w:sz w:val="28"/>
          <w:szCs w:val="28"/>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3</w:t>
      </w:r>
    </w:p>
    <w:p>
      <w:pPr>
        <w:tabs>
          <w:tab w:val="left" w:pos="292"/>
          <w:tab w:val="center" w:pos="4818"/>
        </w:tabs>
        <w:spacing w:line="0" w:lineRule="atLeast"/>
        <w:rPr>
          <w:rFonts w:ascii="宋体" w:hAnsi="宋体" w:eastAsia="宋体"/>
          <w:color w:val="000000" w:themeColor="text1"/>
          <w:sz w:val="28"/>
          <w:szCs w:val="28"/>
          <w14:textFill>
            <w14:solidFill>
              <w14:schemeClr w14:val="tx1"/>
            </w14:solidFill>
          </w14:textFill>
        </w:rPr>
      </w:pPr>
    </w:p>
    <w:p>
      <w:pPr>
        <w:tabs>
          <w:tab w:val="left" w:pos="292"/>
          <w:tab w:val="center" w:pos="4818"/>
        </w:tabs>
        <w:spacing w:line="0" w:lineRule="atLeast"/>
        <w:rPr>
          <w:rFonts w:ascii="宋体" w:hAnsi="宋体" w:eastAsia="宋体"/>
          <w:color w:val="000000" w:themeColor="text1"/>
          <w:sz w:val="28"/>
          <w:szCs w:val="28"/>
          <w14:textFill>
            <w14:solidFill>
              <w14:schemeClr w14:val="tx1"/>
            </w14:solidFill>
          </w14:textFill>
        </w:rPr>
      </w:pPr>
    </w:p>
    <w:p>
      <w:pPr>
        <w:numPr>
          <w:ilvl w:val="0"/>
          <w:numId w:val="2"/>
        </w:numPr>
        <w:spacing w:line="0" w:lineRule="atLeas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投标须知</w:t>
      </w:r>
      <w:r>
        <w:rPr>
          <w:rFonts w:ascii="宋体" w:hAnsi="宋体" w:eastAsia="宋体"/>
          <w:b/>
          <w:bCs/>
          <w:color w:val="000000" w:themeColor="text1"/>
          <w:sz w:val="28"/>
          <w:szCs w:val="28"/>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5</w:t>
      </w:r>
    </w:p>
    <w:p>
      <w:pPr>
        <w:spacing w:line="0" w:lineRule="atLeast"/>
        <w:rPr>
          <w:rFonts w:ascii="宋体" w:hAnsi="宋体" w:eastAsia="宋体"/>
          <w:b/>
          <w:bCs/>
          <w:color w:val="000000" w:themeColor="text1"/>
          <w:sz w:val="28"/>
          <w:szCs w:val="28"/>
          <w14:textFill>
            <w14:solidFill>
              <w14:schemeClr w14:val="tx1"/>
            </w14:solidFill>
          </w14:textFill>
        </w:rPr>
      </w:pPr>
    </w:p>
    <w:p>
      <w:pPr>
        <w:spacing w:line="0" w:lineRule="atLeast"/>
        <w:rPr>
          <w:rFonts w:ascii="宋体" w:hAnsi="宋体" w:eastAsia="宋体"/>
          <w:b/>
          <w:bCs/>
          <w:color w:val="000000" w:themeColor="text1"/>
          <w:sz w:val="28"/>
          <w:szCs w:val="28"/>
          <w14:textFill>
            <w14:solidFill>
              <w14:schemeClr w14:val="tx1"/>
            </w14:solidFill>
          </w14:textFill>
        </w:rPr>
      </w:pPr>
    </w:p>
    <w:p>
      <w:pPr>
        <w:numPr>
          <w:ilvl w:val="0"/>
          <w:numId w:val="2"/>
        </w:numPr>
        <w:spacing w:line="0" w:lineRule="atLeas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需求一览表及技术规格要求</w:t>
      </w:r>
      <w:r>
        <w:rPr>
          <w:rFonts w:ascii="宋体" w:hAnsi="宋体" w:eastAsia="宋体"/>
          <w:b/>
          <w:bCs/>
          <w:color w:val="000000" w:themeColor="text1"/>
          <w:sz w:val="28"/>
          <w:szCs w:val="28"/>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7</w:t>
      </w:r>
    </w:p>
    <w:p>
      <w:pPr>
        <w:spacing w:line="0" w:lineRule="atLeast"/>
        <w:rPr>
          <w:rFonts w:ascii="宋体" w:hAnsi="宋体" w:eastAsia="宋体"/>
          <w:b/>
          <w:bCs/>
          <w:color w:val="000000" w:themeColor="text1"/>
          <w:sz w:val="28"/>
          <w:szCs w:val="28"/>
          <w14:textFill>
            <w14:solidFill>
              <w14:schemeClr w14:val="tx1"/>
            </w14:solidFill>
          </w14:textFill>
        </w:rPr>
      </w:pPr>
    </w:p>
    <w:p>
      <w:pPr>
        <w:spacing w:line="0" w:lineRule="atLeast"/>
        <w:rPr>
          <w:rFonts w:ascii="宋体" w:hAnsi="宋体" w:eastAsia="宋体"/>
          <w:b/>
          <w:bCs/>
          <w:color w:val="000000" w:themeColor="text1"/>
          <w:sz w:val="28"/>
          <w:szCs w:val="28"/>
          <w14:textFill>
            <w14:solidFill>
              <w14:schemeClr w14:val="tx1"/>
            </w14:solidFill>
          </w14:textFill>
        </w:rPr>
      </w:pPr>
    </w:p>
    <w:p>
      <w:pPr>
        <w:numPr>
          <w:ilvl w:val="0"/>
          <w:numId w:val="2"/>
        </w:numPr>
        <w:spacing w:line="0" w:lineRule="atLeas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lang w:val="en-US" w:eastAsia="zh-CN"/>
          <w14:textFill>
            <w14:solidFill>
              <w14:schemeClr w14:val="tx1"/>
            </w14:solidFill>
          </w14:textFill>
        </w:rPr>
        <w:t>评审</w:t>
      </w:r>
      <w:r>
        <w:rPr>
          <w:rFonts w:hint="eastAsia" w:ascii="宋体" w:hAnsi="宋体" w:eastAsia="宋体"/>
          <w:b/>
          <w:bCs/>
          <w:color w:val="000000" w:themeColor="text1"/>
          <w:sz w:val="28"/>
          <w:szCs w:val="28"/>
          <w14:textFill>
            <w14:solidFill>
              <w14:schemeClr w14:val="tx1"/>
            </w14:solidFill>
          </w14:textFill>
        </w:rPr>
        <w:t>办法</w:t>
      </w:r>
      <w:r>
        <w:rPr>
          <w:rFonts w:ascii="宋体" w:hAnsi="宋体" w:eastAsia="宋体"/>
          <w:b/>
          <w:bCs/>
          <w:color w:val="000000" w:themeColor="text1"/>
          <w:sz w:val="28"/>
          <w:szCs w:val="28"/>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17</w:t>
      </w:r>
    </w:p>
    <w:p>
      <w:pPr>
        <w:spacing w:line="0" w:lineRule="atLeast"/>
        <w:rPr>
          <w:rFonts w:ascii="宋体" w:hAnsi="宋体" w:eastAsia="宋体"/>
          <w:b/>
          <w:bCs/>
          <w:color w:val="000000" w:themeColor="text1"/>
          <w:sz w:val="28"/>
          <w:szCs w:val="28"/>
          <w14:textFill>
            <w14:solidFill>
              <w14:schemeClr w14:val="tx1"/>
            </w14:solidFill>
          </w14:textFill>
        </w:rPr>
      </w:pPr>
    </w:p>
    <w:p>
      <w:pPr>
        <w:spacing w:line="0" w:lineRule="atLeast"/>
        <w:rPr>
          <w:rFonts w:ascii="宋体" w:hAnsi="宋体" w:eastAsia="宋体"/>
          <w:b/>
          <w:bCs/>
          <w:color w:val="000000" w:themeColor="text1"/>
          <w:sz w:val="28"/>
          <w:szCs w:val="28"/>
          <w14:textFill>
            <w14:solidFill>
              <w14:schemeClr w14:val="tx1"/>
            </w14:solidFill>
          </w14:textFill>
        </w:rPr>
      </w:pPr>
    </w:p>
    <w:p>
      <w:pPr>
        <w:numPr>
          <w:ilvl w:val="0"/>
          <w:numId w:val="2"/>
        </w:numPr>
        <w:spacing w:line="0" w:lineRule="atLeas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附件及附表</w:t>
      </w:r>
      <w:r>
        <w:rPr>
          <w:rFonts w:ascii="宋体" w:hAnsi="宋体" w:eastAsia="宋体"/>
          <w:b/>
          <w:bCs/>
          <w:color w:val="000000" w:themeColor="text1"/>
          <w:sz w:val="28"/>
          <w:szCs w:val="28"/>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21</w:t>
      </w:r>
    </w:p>
    <w:p>
      <w:pPr>
        <w:spacing w:line="0" w:lineRule="atLeast"/>
        <w:rPr>
          <w:rFonts w:ascii="宋体" w:hAnsi="宋体" w:eastAsia="宋体"/>
          <w:b/>
          <w:bCs/>
          <w:color w:val="000000" w:themeColor="text1"/>
          <w:sz w:val="28"/>
          <w:szCs w:val="28"/>
          <w14:textFill>
            <w14:solidFill>
              <w14:schemeClr w14:val="tx1"/>
            </w14:solidFill>
          </w14:textFill>
        </w:rPr>
      </w:pPr>
    </w:p>
    <w:p>
      <w:pPr>
        <w:spacing w:line="0" w:lineRule="atLeast"/>
        <w:rPr>
          <w:rFonts w:ascii="宋体" w:hAnsi="宋体" w:eastAsia="宋体"/>
          <w:b/>
          <w:bCs/>
          <w:color w:val="000000" w:themeColor="text1"/>
          <w:sz w:val="28"/>
          <w:szCs w:val="28"/>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spacing w:line="360" w:lineRule="auto"/>
        <w:jc w:val="center"/>
        <w:rPr>
          <w:rFonts w:hint="eastAsia" w:asciiTheme="majorEastAsia" w:hAnsiTheme="majorEastAsia" w:eastAsiaTheme="majorEastAsia" w:cstheme="majorEastAsia"/>
          <w:b/>
          <w:color w:val="000000" w:themeColor="text1"/>
          <w:sz w:val="32"/>
          <w:szCs w:val="32"/>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br w:type="page"/>
      </w:r>
    </w:p>
    <w:p>
      <w:pPr>
        <w:spacing w:line="360" w:lineRule="auto"/>
        <w:jc w:val="center"/>
        <w:rPr>
          <w:rFonts w:hint="eastAsia" w:asciiTheme="majorEastAsia" w:hAnsiTheme="majorEastAsia" w:eastAsiaTheme="majorEastAsia" w:cstheme="majorEastAsia"/>
          <w:b/>
          <w:color w:val="000000" w:themeColor="text1"/>
          <w:sz w:val="36"/>
          <w:szCs w:val="36"/>
          <w14:textFill>
            <w14:solidFill>
              <w14:schemeClr w14:val="tx1"/>
            </w14:solidFill>
          </w14:textFill>
        </w:rPr>
      </w:pPr>
    </w:p>
    <w:p>
      <w:pPr>
        <w:spacing w:line="360" w:lineRule="auto"/>
        <w:jc w:val="center"/>
        <w:rPr>
          <w:rFonts w:hint="eastAsia" w:asciiTheme="majorEastAsia" w:hAnsiTheme="majorEastAsia" w:eastAsiaTheme="majorEastAsia" w:cstheme="majorEastAsia"/>
          <w:b/>
          <w:color w:val="000000" w:themeColor="text1"/>
          <w:sz w:val="36"/>
          <w:szCs w:val="36"/>
          <w14:textFill>
            <w14:solidFill>
              <w14:schemeClr w14:val="tx1"/>
            </w14:solidFill>
          </w14:textFill>
        </w:rPr>
      </w:pPr>
      <w:r>
        <w:rPr>
          <w:rFonts w:hint="eastAsia" w:asciiTheme="majorEastAsia" w:hAnsiTheme="majorEastAsia" w:eastAsiaTheme="majorEastAsia" w:cstheme="majorEastAsia"/>
          <w:b/>
          <w:color w:val="000000" w:themeColor="text1"/>
          <w:sz w:val="36"/>
          <w:szCs w:val="36"/>
          <w14:textFill>
            <w14:solidFill>
              <w14:schemeClr w14:val="tx1"/>
            </w14:solidFill>
          </w14:textFill>
        </w:rPr>
        <w:t>安徽省第二人民医院</w:t>
      </w:r>
    </w:p>
    <w:p>
      <w:pPr>
        <w:spacing w:line="360" w:lineRule="auto"/>
        <w:jc w:val="center"/>
        <w:rPr>
          <w:rFonts w:hint="eastAsia" w:asciiTheme="majorEastAsia" w:hAnsiTheme="majorEastAsia" w:eastAsiaTheme="majorEastAsia" w:cstheme="majorEastAsia"/>
          <w:b/>
          <w:color w:val="000000" w:themeColor="text1"/>
          <w:sz w:val="36"/>
          <w:szCs w:val="36"/>
          <w14:textFill>
            <w14:solidFill>
              <w14:schemeClr w14:val="tx1"/>
            </w14:solidFill>
          </w14:textFill>
        </w:rPr>
      </w:pPr>
      <w:r>
        <w:rPr>
          <w:rFonts w:hint="eastAsia" w:asciiTheme="majorEastAsia" w:hAnsiTheme="majorEastAsia" w:eastAsiaTheme="majorEastAsia" w:cstheme="majorEastAsia"/>
          <w:b/>
          <w:color w:val="000000" w:themeColor="text1"/>
          <w:sz w:val="36"/>
          <w:szCs w:val="36"/>
          <w14:textFill>
            <w14:solidFill>
              <w14:schemeClr w14:val="tx1"/>
            </w14:solidFill>
          </w14:textFill>
        </w:rPr>
        <w:t>新媒体</w:t>
      </w:r>
      <w:r>
        <w:rPr>
          <w:rFonts w:hint="eastAsia" w:asciiTheme="majorEastAsia" w:hAnsiTheme="majorEastAsia" w:eastAsiaTheme="majorEastAsia" w:cstheme="majorEastAsia"/>
          <w:b/>
          <w:color w:val="000000" w:themeColor="text1"/>
          <w:sz w:val="36"/>
          <w:szCs w:val="36"/>
          <w:lang w:val="en-US" w:eastAsia="zh-CN"/>
          <w14:textFill>
            <w14:solidFill>
              <w14:schemeClr w14:val="tx1"/>
            </w14:solidFill>
          </w14:textFill>
        </w:rPr>
        <w:t>运维</w:t>
      </w:r>
      <w:r>
        <w:rPr>
          <w:rFonts w:hint="eastAsia" w:asciiTheme="majorEastAsia" w:hAnsiTheme="majorEastAsia" w:eastAsiaTheme="majorEastAsia" w:cstheme="majorEastAsia"/>
          <w:b/>
          <w:color w:val="000000" w:themeColor="text1"/>
          <w:sz w:val="36"/>
          <w:szCs w:val="36"/>
          <w14:textFill>
            <w14:solidFill>
              <w14:schemeClr w14:val="tx1"/>
            </w14:solidFill>
          </w14:textFill>
        </w:rPr>
        <w:t>服务</w:t>
      </w:r>
      <w:r>
        <w:rPr>
          <w:rFonts w:hint="eastAsia" w:asciiTheme="majorEastAsia" w:hAnsiTheme="majorEastAsia" w:eastAsiaTheme="majorEastAsia" w:cstheme="majorEastAsia"/>
          <w:b/>
          <w:bCs w:val="0"/>
          <w:color w:val="000000" w:themeColor="text1"/>
          <w:sz w:val="36"/>
          <w:szCs w:val="36"/>
          <w:lang w:val="en-US" w:eastAsia="zh-CN"/>
          <w14:textFill>
            <w14:solidFill>
              <w14:schemeClr w14:val="tx1"/>
            </w14:solidFill>
          </w14:textFill>
        </w:rPr>
        <w:t>项目招标</w:t>
      </w:r>
      <w:r>
        <w:rPr>
          <w:rFonts w:hint="eastAsia" w:asciiTheme="majorEastAsia" w:hAnsiTheme="majorEastAsia" w:eastAsiaTheme="majorEastAsia" w:cstheme="majorEastAsia"/>
          <w:b/>
          <w:color w:val="000000" w:themeColor="text1"/>
          <w:sz w:val="36"/>
          <w:szCs w:val="36"/>
          <w14:textFill>
            <w14:solidFill>
              <w14:schemeClr w14:val="tx1"/>
            </w14:solidFill>
          </w14:textFill>
        </w:rPr>
        <w:t>公告</w:t>
      </w:r>
    </w:p>
    <w:p>
      <w:pPr>
        <w:pStyle w:val="7"/>
        <w:numPr>
          <w:ilvl w:val="2"/>
          <w:numId w:val="0"/>
        </w:numPr>
        <w:tabs>
          <w:tab w:val="clear" w:pos="720"/>
        </w:tabs>
        <w:ind w:leftChars="0"/>
        <w:rPr>
          <w:rFonts w:hint="eastAsia"/>
        </w:rPr>
      </w:pPr>
    </w:p>
    <w:p>
      <w:pPr>
        <w:spacing w:line="360" w:lineRule="auto"/>
        <w:ind w:firstLine="480" w:firstLineChars="200"/>
        <w:jc w:val="lef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安徽省第二人民医院新媒体</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运维</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及服务</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项目</w:t>
      </w:r>
      <w:r>
        <w:rPr>
          <w:rFonts w:hint="eastAsia" w:asciiTheme="majorEastAsia" w:hAnsiTheme="majorEastAsia" w:eastAsiaTheme="majorEastAsia" w:cstheme="majorEastAsia"/>
          <w:b w:val="0"/>
          <w:bCs w:val="0"/>
          <w:color w:val="000000" w:themeColor="text1"/>
          <w:kern w:val="0"/>
          <w:sz w:val="24"/>
          <w:szCs w:val="24"/>
          <w:lang w:val="en-US" w:eastAsia="zh-CN"/>
          <w14:textFill>
            <w14:solidFill>
              <w14:schemeClr w14:val="tx1"/>
            </w14:solidFill>
          </w14:textFill>
        </w:rPr>
        <w:t>采购</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进行公开</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挂网</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，欢迎所有具备能力和资格的潜在投标人参与投标活动。</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2"/>
          <w:sz w:val="24"/>
          <w:szCs w:val="24"/>
          <w:lang w:val="en-US" w:eastAsia="zh-CN" w:bidi="ar-SA"/>
          <w14:textFill>
            <w14:solidFill>
              <w14:schemeClr w14:val="tx1"/>
            </w14:solidFill>
          </w14:textFill>
        </w:rPr>
        <w:t>1.</w:t>
      </w: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项目编号：</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2.</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招标人：</w:t>
      </w:r>
      <w:r>
        <w:rPr>
          <w:rFonts w:hint="eastAsia" w:asciiTheme="majorEastAsia" w:hAnsiTheme="majorEastAsia" w:eastAsiaTheme="majorEastAsia" w:cstheme="majorEastAsia"/>
          <w:color w:val="000000" w:themeColor="text1"/>
          <w:sz w:val="24"/>
          <w:szCs w:val="24"/>
          <w14:textFill>
            <w14:solidFill>
              <w14:schemeClr w14:val="tx1"/>
            </w14:solidFill>
          </w14:textFill>
        </w:rPr>
        <w:t>安徽省第二人民医院</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lang w:val="en-US" w:eastAsia="zh-CN" w:bidi="ar-SA"/>
          <w14:textFill>
            <w14:solidFill>
              <w14:schemeClr w14:val="tx1"/>
            </w14:solidFill>
          </w14:textFill>
        </w:rPr>
        <w:t>3.</w:t>
      </w: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项目名称：</w:t>
      </w:r>
    </w:p>
    <w:p>
      <w:pPr>
        <w:keepNext w:val="0"/>
        <w:keepLines w:val="0"/>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outlineLvl w:val="9"/>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安徽省第二人民医院新媒体</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运维</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及服务项目</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lang w:val="en-US" w:eastAsia="zh-CN" w:bidi="ar-SA"/>
          <w14:textFill>
            <w14:solidFill>
              <w14:schemeClr w14:val="tx1"/>
            </w14:solidFill>
          </w14:textFill>
        </w:rPr>
        <w:t>4.</w:t>
      </w: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招标范围及内容：</w:t>
      </w:r>
    </w:p>
    <w:p>
      <w:pPr>
        <w:keepNext w:val="0"/>
        <w:keepLines w:val="0"/>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outlineLvl w:val="9"/>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安徽省第二人民医院新媒体</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运维</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及服务项目，具体内容及要求详见</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招标</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文件。</w:t>
      </w:r>
    </w:p>
    <w:p>
      <w:pPr>
        <w:keepNext w:val="0"/>
        <w:keepLines w:val="0"/>
        <w:pageBreakBefore w:val="0"/>
        <w:widowControl/>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lang w:val="en-US" w:eastAsia="zh-CN"/>
          <w14:textFill>
            <w14:solidFill>
              <w14:schemeClr w14:val="tx1"/>
            </w14:solidFill>
          </w14:textFill>
        </w:rPr>
        <w:t>5.</w:t>
      </w: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供应商资格</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供应商具有有效的营业执照</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 xml:space="preserve">5.2 </w:t>
      </w:r>
      <w:r>
        <w:rPr>
          <w:rFonts w:hint="eastAsia" w:asciiTheme="majorEastAsia" w:hAnsiTheme="majorEastAsia" w:eastAsiaTheme="majorEastAsia" w:cstheme="majorEastAsia"/>
          <w:color w:val="000000" w:themeColor="text1"/>
          <w:sz w:val="24"/>
          <w:szCs w:val="24"/>
          <w14:textFill>
            <w14:solidFill>
              <w14:schemeClr w14:val="tx1"/>
            </w14:solidFill>
          </w14:textFill>
        </w:rPr>
        <w:t>至响应文件截止时间，供应商存在下列有效情形之一的，其响应</w:t>
      </w: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文件无效（提供承诺）：</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5.2</w:t>
      </w:r>
      <w:r>
        <w:rPr>
          <w:rFonts w:hint="eastAsia" w:asciiTheme="majorEastAsia" w:hAnsiTheme="majorEastAsia" w:eastAsiaTheme="majorEastAsia" w:cstheme="majorEastAsia"/>
          <w:color w:val="000000" w:themeColor="text1"/>
          <w:sz w:val="24"/>
          <w:szCs w:val="24"/>
          <w14:textFill>
            <w14:solidFill>
              <w14:schemeClr w14:val="tx1"/>
            </w14:solidFill>
          </w14:textFill>
        </w:rPr>
        <w:t>.1被人民法院列入失信被执行人名单的；</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5.2</w:t>
      </w:r>
      <w:r>
        <w:rPr>
          <w:rFonts w:hint="eastAsia" w:asciiTheme="majorEastAsia" w:hAnsiTheme="majorEastAsia" w:eastAsiaTheme="majorEastAsia" w:cstheme="majorEastAsia"/>
          <w:color w:val="000000" w:themeColor="text1"/>
          <w:sz w:val="24"/>
          <w:szCs w:val="24"/>
          <w14:textFill>
            <w14:solidFill>
              <w14:schemeClr w14:val="tx1"/>
            </w14:solidFill>
          </w14:textFill>
        </w:rPr>
        <w:t>.2被税务机关列入重大税收违法案件当事人名单的；</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5.2</w:t>
      </w:r>
      <w:r>
        <w:rPr>
          <w:rFonts w:hint="eastAsia" w:asciiTheme="majorEastAsia" w:hAnsiTheme="majorEastAsia" w:eastAsiaTheme="majorEastAsia" w:cstheme="majorEastAsia"/>
          <w:color w:val="000000" w:themeColor="text1"/>
          <w:sz w:val="24"/>
          <w:szCs w:val="24"/>
          <w14:textFill>
            <w14:solidFill>
              <w14:schemeClr w14:val="tx1"/>
            </w14:solidFill>
          </w14:textFill>
        </w:rPr>
        <w:t>.3被市场监督管理部门（或工商行政管理部门）列入严重违法失信企业名单的。</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5.3</w:t>
      </w:r>
      <w:r>
        <w:rPr>
          <w:rFonts w:hint="eastAsia" w:asciiTheme="majorEastAsia" w:hAnsiTheme="majorEastAsia" w:eastAsiaTheme="majorEastAsia" w:cstheme="majorEastAsia"/>
          <w:color w:val="000000" w:themeColor="text1"/>
          <w:sz w:val="24"/>
          <w:szCs w:val="24"/>
          <w14:textFill>
            <w14:solidFill>
              <w14:schemeClr w14:val="tx1"/>
            </w14:solidFill>
          </w14:textFill>
        </w:rPr>
        <w:t>本项目不接受联合体响应。</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注：“有效”是指“情形”规定的程度、起止期间处于有效状态。</w:t>
      </w:r>
    </w:p>
    <w:p>
      <w:pPr>
        <w:keepNext w:val="0"/>
        <w:keepLines w:val="0"/>
        <w:pageBreakBefore w:val="0"/>
        <w:widowControl/>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b/>
          <w:bCs/>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lang w:val="en-US" w:eastAsia="zh-CN"/>
          <w14:textFill>
            <w14:solidFill>
              <w14:schemeClr w14:val="tx1"/>
            </w14:solidFill>
          </w14:textFill>
        </w:rPr>
        <w:t>6.投标文件递交时间及方式：</w:t>
      </w:r>
    </w:p>
    <w:p>
      <w:pPr>
        <w:keepNext w:val="0"/>
        <w:keepLines w:val="0"/>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outlineLvl w:val="9"/>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2024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年</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月</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31</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日——</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2024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年</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月</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日</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17:00前将投标文件密封送至合肥市瑶海区北二环砀山路1868号安徽省第二人民医院B楼601宣传统战部。</w:t>
      </w:r>
    </w:p>
    <w:p>
      <w:pPr>
        <w:keepNext w:val="0"/>
        <w:keepLines w:val="0"/>
        <w:pageBreakBefore w:val="0"/>
        <w:widowControl/>
        <w:numPr>
          <w:ilvl w:val="0"/>
          <w:numId w:val="0"/>
        </w:numPr>
        <w:kinsoku/>
        <w:wordWrap/>
        <w:overflowPunct/>
        <w:topLinePunct w:val="0"/>
        <w:autoSpaceDE/>
        <w:autoSpaceDN/>
        <w:bidi w:val="0"/>
        <w:spacing w:line="360" w:lineRule="auto"/>
        <w:ind w:right="0" w:rightChars="0" w:firstLine="482" w:firstLineChars="200"/>
        <w:jc w:val="left"/>
        <w:textAlignment w:val="auto"/>
        <w:outlineLvl w:val="9"/>
        <w:rPr>
          <w:rFonts w:hint="default"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lang w:val="en-US" w:eastAsia="zh-CN"/>
          <w14:textFill>
            <w14:solidFill>
              <w14:schemeClr w14:val="tx1"/>
            </w14:solidFill>
          </w14:textFill>
        </w:rPr>
        <w:t>8.开标时间：</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2024年6月18日15：00</w:t>
      </w:r>
    </w:p>
    <w:p>
      <w:pPr>
        <w:keepNext w:val="0"/>
        <w:keepLines w:val="0"/>
        <w:pageBreakBefore w:val="0"/>
        <w:widowControl/>
        <w:numPr>
          <w:ilvl w:val="0"/>
          <w:numId w:val="0"/>
        </w:numPr>
        <w:kinsoku/>
        <w:wordWrap/>
        <w:overflowPunct/>
        <w:topLinePunct w:val="0"/>
        <w:autoSpaceDE/>
        <w:autoSpaceDN/>
        <w:bidi w:val="0"/>
        <w:spacing w:line="360" w:lineRule="auto"/>
        <w:ind w:right="0" w:rightChars="0" w:firstLine="482" w:firstLineChars="200"/>
        <w:jc w:val="left"/>
        <w:textAlignment w:val="auto"/>
        <w:outlineLvl w:val="9"/>
        <w:rPr>
          <w:rFonts w:hint="default"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lang w:val="en-US" w:eastAsia="zh-CN"/>
          <w14:textFill>
            <w14:solidFill>
              <w14:schemeClr w14:val="tx1"/>
            </w14:solidFill>
          </w14:textFill>
        </w:rPr>
        <w:t>9.开标地点：</w:t>
      </w:r>
      <w:r>
        <w:rPr>
          <w:rFonts w:hint="eastAsia" w:asciiTheme="majorEastAsia" w:hAnsiTheme="majorEastAsia" w:eastAsiaTheme="majorEastAsia" w:cstheme="majorEastAsia"/>
          <w:b w:val="0"/>
          <w:bCs w:val="0"/>
          <w:color w:val="000000" w:themeColor="text1"/>
          <w:kern w:val="0"/>
          <w:sz w:val="24"/>
          <w:szCs w:val="24"/>
          <w:lang w:val="en-US" w:eastAsia="zh-CN"/>
          <w14:textFill>
            <w14:solidFill>
              <w14:schemeClr w14:val="tx1"/>
            </w14:solidFill>
          </w14:textFill>
        </w:rPr>
        <w:t>瑶海区北二环砀山</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路1868号安徽省第二人民医院C楼G层会议室</w:t>
      </w:r>
    </w:p>
    <w:p>
      <w:pPr>
        <w:keepNext w:val="0"/>
        <w:keepLines w:val="0"/>
        <w:pageBreakBefore w:val="0"/>
        <w:widowControl/>
        <w:numPr>
          <w:ilvl w:val="0"/>
          <w:numId w:val="0"/>
        </w:numPr>
        <w:kinsoku/>
        <w:wordWrap/>
        <w:overflowPunct/>
        <w:topLinePunct w:val="0"/>
        <w:autoSpaceDE/>
        <w:autoSpaceDN/>
        <w:bidi w:val="0"/>
        <w:spacing w:line="360" w:lineRule="auto"/>
        <w:ind w:right="0" w:rightChars="0" w:firstLine="482" w:firstLineChars="200"/>
        <w:jc w:val="left"/>
        <w:textAlignment w:val="auto"/>
        <w:outlineLvl w:val="9"/>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lang w:val="en-US" w:eastAsia="zh-CN"/>
          <w14:textFill>
            <w14:solidFill>
              <w14:schemeClr w14:val="tx1"/>
            </w14:solidFill>
          </w14:textFill>
        </w:rPr>
        <w:t>10.发布公告的网站：</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ttps://www.ahs2y.com/</w:t>
      </w:r>
    </w:p>
    <w:p>
      <w:pPr>
        <w:keepNext w:val="0"/>
        <w:keepLines w:val="0"/>
        <w:pageBreakBefore w:val="0"/>
        <w:kinsoku/>
        <w:wordWrap/>
        <w:overflowPunct/>
        <w:topLinePunct w:val="0"/>
        <w:autoSpaceDE/>
        <w:autoSpaceDN/>
        <w:bidi w:val="0"/>
        <w:spacing w:line="360" w:lineRule="auto"/>
        <w:ind w:right="0" w:rightChars="0"/>
        <w:textAlignment w:val="auto"/>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招标人：安徽省</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第二人民医院</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地址：</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瑶海区北二环砀山路1868号</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hint="default"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邮编：</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230041</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hint="default"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联系人：</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周老师</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hint="default" w:eastAsiaTheme="majorEastAsia"/>
          <w:sz w:val="21"/>
          <w:szCs w:val="22"/>
          <w:lang w:val="en-US" w:eastAsia="zh-CN"/>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联系电话：</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0551-64286072</w:t>
      </w:r>
    </w:p>
    <w:p>
      <w:pPr>
        <w:jc w:val="center"/>
        <w:rPr>
          <w:rFonts w:hint="eastAsia" w:ascii="宋体" w:hAnsi="宋体" w:eastAsia="宋体"/>
          <w:b/>
          <w:bCs/>
          <w:color w:val="000000" w:themeColor="text1"/>
          <w:sz w:val="36"/>
          <w14:textFill>
            <w14:solidFill>
              <w14:schemeClr w14:val="tx1"/>
            </w14:solidFill>
          </w14:textFill>
        </w:rPr>
      </w:pPr>
    </w:p>
    <w:p>
      <w:pPr>
        <w:jc w:val="center"/>
        <w:rPr>
          <w:rFonts w:hint="eastAsia" w:ascii="宋体" w:hAnsi="宋体" w:eastAsia="宋体"/>
          <w:b/>
          <w:bCs/>
          <w:color w:val="000000" w:themeColor="text1"/>
          <w:sz w:val="36"/>
          <w14:textFill>
            <w14:solidFill>
              <w14:schemeClr w14:val="tx1"/>
            </w14:solidFill>
          </w14:textFill>
        </w:rPr>
      </w:pPr>
      <w:r>
        <w:rPr>
          <w:rFonts w:hint="eastAsia" w:ascii="宋体" w:hAnsi="宋体" w:eastAsia="宋体"/>
          <w:b/>
          <w:bCs/>
          <w:color w:val="000000" w:themeColor="text1"/>
          <w:sz w:val="36"/>
          <w14:textFill>
            <w14:solidFill>
              <w14:schemeClr w14:val="tx1"/>
            </w14:solidFill>
          </w14:textFill>
        </w:rPr>
        <w:br w:type="page"/>
      </w:r>
    </w:p>
    <w:p>
      <w:pPr>
        <w:numPr>
          <w:ilvl w:val="0"/>
          <w:numId w:val="3"/>
        </w:numPr>
        <w:jc w:val="center"/>
        <w:rPr>
          <w:rFonts w:hint="eastAsia" w:ascii="宋体" w:hAnsi="宋体" w:eastAsia="宋体"/>
          <w:b/>
          <w:bCs/>
          <w:color w:val="000000" w:themeColor="text1"/>
          <w:sz w:val="36"/>
          <w14:textFill>
            <w14:solidFill>
              <w14:schemeClr w14:val="tx1"/>
            </w14:solidFill>
          </w14:textFill>
        </w:rPr>
      </w:pPr>
      <w:r>
        <w:rPr>
          <w:rFonts w:hint="eastAsia" w:ascii="宋体" w:hAnsi="宋体" w:eastAsia="宋体"/>
          <w:b/>
          <w:bCs/>
          <w:color w:val="000000" w:themeColor="text1"/>
          <w:sz w:val="36"/>
          <w14:textFill>
            <w14:solidFill>
              <w14:schemeClr w14:val="tx1"/>
            </w14:solidFill>
          </w14:textFill>
        </w:rPr>
        <w:t xml:space="preserve">  投 标 须 知</w:t>
      </w:r>
    </w:p>
    <w:p>
      <w:pPr>
        <w:pStyle w:val="7"/>
        <w:numPr>
          <w:ilvl w:val="2"/>
          <w:numId w:val="0"/>
        </w:numPr>
        <w:ind w:leftChars="0"/>
      </w:pPr>
    </w:p>
    <w:p>
      <w:pPr>
        <w:numPr>
          <w:ilvl w:val="0"/>
          <w:numId w:val="4"/>
        </w:numPr>
        <w:jc w:val="center"/>
        <w:rPr>
          <w:rFonts w:hint="eastAsia" w:ascii="宋体" w:hAnsi="宋体" w:eastAsia="宋体"/>
          <w:b/>
          <w:bCs/>
          <w:color w:val="000000" w:themeColor="text1"/>
          <w:sz w:val="30"/>
          <w14:textFill>
            <w14:solidFill>
              <w14:schemeClr w14:val="tx1"/>
            </w14:solidFill>
          </w14:textFill>
        </w:rPr>
      </w:pPr>
      <w:r>
        <w:rPr>
          <w:rFonts w:hint="eastAsia" w:ascii="宋体" w:hAnsi="宋体" w:eastAsia="宋体"/>
          <w:b/>
          <w:bCs/>
          <w:color w:val="000000" w:themeColor="text1"/>
          <w:sz w:val="30"/>
          <w14:textFill>
            <w14:solidFill>
              <w14:schemeClr w14:val="tx1"/>
            </w14:solidFill>
          </w14:textFill>
        </w:rPr>
        <w:t>前附表</w:t>
      </w:r>
    </w:p>
    <w:p>
      <w:pPr>
        <w:pStyle w:val="7"/>
        <w:numPr>
          <w:ilvl w:val="2"/>
          <w:numId w:val="0"/>
        </w:numPr>
        <w:ind w:leftChars="0"/>
      </w:pPr>
    </w:p>
    <w:p>
      <w:r>
        <w:rPr>
          <w:rFonts w:hint="eastAsia" w:ascii="宋体" w:hAnsi="宋体" w:eastAsia="宋体"/>
          <w:color w:val="000000" w:themeColor="text1"/>
          <w:sz w:val="24"/>
          <w:szCs w:val="24"/>
          <w14:textFill>
            <w14:solidFill>
              <w14:schemeClr w14:val="tx1"/>
            </w14:solidFill>
          </w14:textFill>
        </w:rPr>
        <w:t>本表关于货物招标具体要求是对投标人须知的具体补充和修改，如有矛盾，应以本表为准。</w:t>
      </w:r>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8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line="360" w:lineRule="auto"/>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序号</w:t>
            </w:r>
          </w:p>
        </w:tc>
        <w:tc>
          <w:tcPr>
            <w:tcW w:w="8008" w:type="dxa"/>
            <w:vAlign w:val="center"/>
          </w:tcPr>
          <w:p>
            <w:pPr>
              <w:spacing w:line="360" w:lineRule="auto"/>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p>
        </w:tc>
        <w:tc>
          <w:tcPr>
            <w:tcW w:w="8008" w:type="dxa"/>
            <w:vAlign w:val="center"/>
          </w:tcPr>
          <w:p>
            <w:pPr>
              <w:spacing w:line="360" w:lineRule="auto"/>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：安徽省第二人民医院新媒体运维服务项目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w:t>
            </w:r>
          </w:p>
        </w:tc>
        <w:tc>
          <w:tcPr>
            <w:tcW w:w="8008" w:type="dxa"/>
            <w:vAlign w:val="center"/>
          </w:tcPr>
          <w:p>
            <w:pPr>
              <w:spacing w:line="360" w:lineRule="auto"/>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项目编号</w:t>
            </w:r>
            <w:r>
              <w:rPr>
                <w:rFonts w:hint="eastAsia" w:ascii="宋体" w:hAnsi="宋体" w:eastAsia="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0" w:type="dxa"/>
            <w:vAlign w:val="center"/>
          </w:tcPr>
          <w:p>
            <w:pPr>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3</w:t>
            </w:r>
          </w:p>
        </w:tc>
        <w:tc>
          <w:tcPr>
            <w:tcW w:w="8008" w:type="dxa"/>
            <w:vAlign w:val="center"/>
          </w:tcPr>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招标人： 安徽省第二人民医院</w:t>
            </w:r>
          </w:p>
          <w:p>
            <w:pPr>
              <w:widowControl/>
              <w:spacing w:line="360" w:lineRule="auto"/>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联系人： </w:t>
            </w:r>
            <w:r>
              <w:rPr>
                <w:rFonts w:hint="eastAsia" w:ascii="宋体" w:hAnsi="宋体" w:eastAsia="宋体"/>
                <w:color w:val="000000" w:themeColor="text1"/>
                <w:sz w:val="24"/>
                <w:szCs w:val="24"/>
                <w:lang w:val="en-US" w:eastAsia="zh-CN"/>
                <w14:textFill>
                  <w14:solidFill>
                    <w14:schemeClr w14:val="tx1"/>
                  </w14:solidFill>
                </w14:textFill>
              </w:rPr>
              <w:t>周老师</w:t>
            </w:r>
          </w:p>
          <w:p>
            <w:pPr>
              <w:widowControl/>
              <w:spacing w:line="360" w:lineRule="auto"/>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联系电话：</w:t>
            </w:r>
            <w:r>
              <w:rPr>
                <w:rFonts w:hint="eastAsia" w:ascii="宋体" w:hAnsi="宋体" w:eastAsia="宋体" w:cs="宋体"/>
                <w:color w:val="000000" w:themeColor="text1"/>
                <w:kern w:val="0"/>
                <w:sz w:val="24"/>
                <w:lang w:val="en-US" w:eastAsia="zh-CN"/>
                <w14:textFill>
                  <w14:solidFill>
                    <w14:schemeClr w14:val="tx1"/>
                  </w14:solidFill>
                </w14:textFill>
              </w:rPr>
              <w:t>0551-64286072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4</w:t>
            </w:r>
          </w:p>
        </w:tc>
        <w:tc>
          <w:tcPr>
            <w:tcW w:w="8008" w:type="dxa"/>
            <w:vAlign w:val="center"/>
          </w:tcPr>
          <w:p>
            <w:pPr>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招标范围及内容：</w:t>
            </w:r>
            <w:r>
              <w:rPr>
                <w:rFonts w:hint="eastAsia" w:ascii="宋体" w:hAnsi="宋体" w:eastAsia="宋体"/>
                <w:bCs/>
                <w:color w:val="000000" w:themeColor="text1"/>
                <w:sz w:val="24"/>
                <w:szCs w:val="24"/>
                <w14:textFill>
                  <w14:solidFill>
                    <w14:schemeClr w14:val="tx1"/>
                  </w14:solidFill>
                </w14:textFill>
              </w:rPr>
              <w:t>安徽省第二人民医院新媒体</w:t>
            </w:r>
            <w:r>
              <w:rPr>
                <w:rFonts w:hint="eastAsia" w:ascii="宋体" w:hAnsi="宋体" w:eastAsia="宋体"/>
                <w:bCs/>
                <w:color w:val="000000" w:themeColor="text1"/>
                <w:sz w:val="24"/>
                <w:szCs w:val="24"/>
                <w:lang w:val="en-US" w:eastAsia="zh-CN"/>
                <w14:textFill>
                  <w14:solidFill>
                    <w14:schemeClr w14:val="tx1"/>
                  </w14:solidFill>
                </w14:textFill>
              </w:rPr>
              <w:t>运维</w:t>
            </w:r>
            <w:r>
              <w:rPr>
                <w:rFonts w:hint="eastAsia" w:ascii="宋体" w:hAnsi="宋体" w:eastAsia="宋体"/>
                <w:bCs/>
                <w:color w:val="000000" w:themeColor="text1"/>
                <w:sz w:val="24"/>
                <w:szCs w:val="24"/>
                <w14:textFill>
                  <w14:solidFill>
                    <w14:schemeClr w14:val="tx1"/>
                  </w14:solidFill>
                </w14:textFill>
              </w:rPr>
              <w:t>服务项目</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eastAsia="zh-CN"/>
                <w14:textFill>
                  <w14:solidFill>
                    <w14:schemeClr w14:val="tx1"/>
                  </w14:solidFill>
                </w14:textFill>
              </w:rPr>
              <w:t>具体</w:t>
            </w:r>
            <w:r>
              <w:rPr>
                <w:rFonts w:hint="eastAsia" w:ascii="宋体" w:hAnsi="宋体" w:eastAsia="宋体" w:cs="宋体"/>
                <w:color w:val="000000" w:themeColor="text1"/>
                <w:kern w:val="0"/>
                <w:sz w:val="24"/>
                <w14:textFill>
                  <w14:solidFill>
                    <w14:schemeClr w14:val="tx1"/>
                  </w14:solidFill>
                </w14:textFill>
              </w:rPr>
              <w:t>详见</w:t>
            </w:r>
            <w:r>
              <w:rPr>
                <w:rFonts w:hint="eastAsia" w:ascii="宋体" w:hAnsi="宋体" w:eastAsia="宋体" w:cs="宋体"/>
                <w:color w:val="000000" w:themeColor="text1"/>
                <w:kern w:val="0"/>
                <w:sz w:val="24"/>
                <w:lang w:val="en-US" w:eastAsia="zh-CN"/>
                <w14:textFill>
                  <w14:solidFill>
                    <w14:schemeClr w14:val="tx1"/>
                  </w14:solidFill>
                </w14:textFill>
              </w:rPr>
              <w:t>招标</w:t>
            </w:r>
            <w:r>
              <w:rPr>
                <w:rFonts w:ascii="宋体" w:hAnsi="宋体" w:eastAsia="宋体" w:cs="宋体"/>
                <w:color w:val="000000" w:themeColor="text1"/>
                <w:kern w:val="0"/>
                <w:sz w:val="24"/>
                <w14:textFill>
                  <w14:solidFill>
                    <w14:schemeClr w14:val="tx1"/>
                  </w14:solidFill>
                </w14:textFill>
              </w:rPr>
              <w:t>文件</w:t>
            </w:r>
            <w:r>
              <w:rPr>
                <w:rFonts w:hint="eastAsia" w:ascii="宋体" w:hAnsi="宋体" w:eastAsia="宋体" w:cs="宋体"/>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30" w:type="dxa"/>
            <w:vAlign w:val="center"/>
          </w:tcPr>
          <w:p>
            <w:pPr>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5</w:t>
            </w:r>
          </w:p>
        </w:tc>
        <w:tc>
          <w:tcPr>
            <w:tcW w:w="8008" w:type="dxa"/>
            <w:vAlign w:val="center"/>
          </w:tcPr>
          <w:p>
            <w:pPr>
              <w:spacing w:line="360" w:lineRule="auto"/>
              <w:rPr>
                <w:rFonts w:ascii="宋体" w:hAnsi="宋体" w:eastAsia="宋体"/>
                <w:color w:val="000000" w:themeColor="text1"/>
                <w:sz w:val="24"/>
                <w:szCs w:val="24"/>
                <w14:textFill>
                  <w14:solidFill>
                    <w14:schemeClr w14:val="tx1"/>
                  </w14:solidFill>
                </w14:textFill>
              </w:rPr>
            </w:pPr>
            <w:bookmarkStart w:id="0" w:name="_Toc321487823"/>
            <w:bookmarkStart w:id="1" w:name="_Toc321804986"/>
            <w:bookmarkStart w:id="2" w:name="_Toc325067285"/>
            <w:r>
              <w:rPr>
                <w:rFonts w:hint="eastAsia" w:ascii="宋体" w:hAnsi="宋体" w:eastAsia="宋体"/>
                <w:color w:val="000000" w:themeColor="text1"/>
                <w:sz w:val="24"/>
                <w:szCs w:val="24"/>
                <w:lang w:val="en-US" w:eastAsia="zh-CN"/>
                <w14:textFill>
                  <w14:solidFill>
                    <w14:schemeClr w14:val="tx1"/>
                  </w14:solidFill>
                </w14:textFill>
              </w:rPr>
              <w:t>服务</w:t>
            </w:r>
            <w:r>
              <w:rPr>
                <w:rFonts w:hint="eastAsia" w:ascii="宋体" w:hAnsi="宋体" w:eastAsia="宋体"/>
                <w:color w:val="000000" w:themeColor="text1"/>
                <w:sz w:val="24"/>
                <w:szCs w:val="24"/>
                <w14:textFill>
                  <w14:solidFill>
                    <w14:schemeClr w14:val="tx1"/>
                  </w14:solidFill>
                </w14:textFill>
              </w:rPr>
              <w:t>期：</w:t>
            </w:r>
            <w:r>
              <w:rPr>
                <w:rFonts w:hint="eastAsia" w:ascii="宋体" w:hAnsi="宋体" w:eastAsia="宋体"/>
                <w:color w:val="000000" w:themeColor="text1"/>
                <w:sz w:val="24"/>
                <w:szCs w:val="24"/>
                <w:lang w:eastAsia="zh-CN"/>
                <w14:textFill>
                  <w14:solidFill>
                    <w14:schemeClr w14:val="tx1"/>
                  </w14:solidFill>
                </w14:textFill>
              </w:rPr>
              <w:t>合同签订后一年</w:t>
            </w:r>
            <w:r>
              <w:rPr>
                <w:rFonts w:hint="eastAsia" w:ascii="宋体" w:hAnsi="宋体" w:eastAsia="宋体"/>
                <w:color w:val="000000" w:themeColor="text1"/>
                <w:sz w:val="24"/>
                <w:szCs w:val="24"/>
                <w14:textFill>
                  <w14:solidFill>
                    <w14:schemeClr w14:val="tx1"/>
                  </w14:solidFill>
                </w14:textFill>
              </w:rPr>
              <w:t>。</w:t>
            </w:r>
            <w:bookmarkEnd w:id="0"/>
            <w:bookmarkEnd w:id="1"/>
            <w:bookmarkEnd w:id="2"/>
            <w:r>
              <w:rPr>
                <w:rFonts w:hint="eastAsia" w:ascii="宋体" w:hAnsi="宋体" w:eastAsia="宋体"/>
                <w:color w:val="000000" w:themeColor="text1"/>
                <w:sz w:val="24"/>
                <w:szCs w:val="24"/>
                <w14:textFill>
                  <w14:solidFill>
                    <w14:schemeClr w14:val="tx1"/>
                  </w14:solidFill>
                </w14:textFill>
              </w:rPr>
              <w:t>本项目服务期内履约良好，合同到期后，经双方同意，且年度预算能保障的前提下，可续签下一年度合同，续签时间最多不超过2年，按年度执行，服务价格、服务内容原则上不变。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130" w:type="dxa"/>
            <w:tcBorders>
              <w:bottom w:val="single" w:color="auto" w:sz="4" w:space="0"/>
            </w:tcBorders>
            <w:vAlign w:val="center"/>
          </w:tcPr>
          <w:p>
            <w:pPr>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6</w:t>
            </w:r>
          </w:p>
        </w:tc>
        <w:tc>
          <w:tcPr>
            <w:tcW w:w="8008" w:type="dxa"/>
            <w:tcBorders>
              <w:bottom w:val="single" w:color="auto" w:sz="4" w:space="0"/>
            </w:tcBorders>
            <w:vAlign w:val="center"/>
          </w:tcPr>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投标文件份数、签署及相关说明：</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1、纸质文件正本1份，副本</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份；</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注：投标人应完善编制、装订、递交投标文件。一旦投标，投标截止时间后，投标文件不予退还。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130" w:type="dxa"/>
            <w:tcBorders>
              <w:bottom w:val="single" w:color="auto" w:sz="4" w:space="0"/>
            </w:tcBorders>
            <w:vAlign w:val="center"/>
          </w:tcPr>
          <w:p>
            <w:pPr>
              <w:spacing w:line="360" w:lineRule="auto"/>
              <w:jc w:val="center"/>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7</w:t>
            </w:r>
          </w:p>
        </w:tc>
        <w:tc>
          <w:tcPr>
            <w:tcW w:w="8008" w:type="dxa"/>
            <w:tcBorders>
              <w:bottom w:val="single" w:color="auto" w:sz="4" w:space="0"/>
            </w:tcBorders>
            <w:vAlign w:val="center"/>
          </w:tcPr>
          <w:p>
            <w:pPr>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投标保证金：</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本次招标投标申请人在提交投标文件时，须按照所投项目提供投标保证金。投标保证金具体数额为：人民币</w:t>
            </w:r>
            <w:r>
              <w:rPr>
                <w:rFonts w:hint="eastAsia"/>
                <w:color w:val="000000" w:themeColor="text1"/>
                <w:sz w:val="24"/>
                <w:szCs w:val="24"/>
                <w:lang w:val="en-US" w:eastAsia="zh-CN"/>
                <w14:textFill>
                  <w14:solidFill>
                    <w14:schemeClr w14:val="tx1"/>
                  </w14:solidFill>
                </w14:textFill>
              </w:rPr>
              <w:t>叄</w:t>
            </w:r>
            <w:r>
              <w:rPr>
                <w:rFonts w:hint="eastAsia"/>
                <w:color w:val="000000" w:themeColor="text1"/>
                <w:sz w:val="24"/>
                <w:szCs w:val="24"/>
                <w14:textFill>
                  <w14:solidFill>
                    <w14:schemeClr w14:val="tx1"/>
                  </w14:solidFill>
                </w14:textFill>
              </w:rPr>
              <w:t>仟元整（¥</w:t>
            </w:r>
            <w:r>
              <w:rPr>
                <w:rFonts w:hint="eastAsia"/>
                <w:color w:val="000000" w:themeColor="text1"/>
                <w:sz w:val="24"/>
                <w:szCs w:val="24"/>
                <w:lang w:val="en-US" w:eastAsia="zh-CN"/>
                <w14:textFill>
                  <w14:solidFill>
                    <w14:schemeClr w14:val="tx1"/>
                  </w14:solidFill>
                </w14:textFill>
              </w:rPr>
              <w:t>3000</w:t>
            </w:r>
            <w:r>
              <w:rPr>
                <w:rFonts w:hint="eastAsia"/>
                <w:color w:val="000000" w:themeColor="text1"/>
                <w:sz w:val="24"/>
                <w:szCs w:val="24"/>
                <w14:textFill>
                  <w14:solidFill>
                    <w14:schemeClr w14:val="tx1"/>
                  </w14:solidFill>
                </w14:textFill>
              </w:rPr>
              <w:t>元）。保证金必须从申请人基本账户转出。</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缴款户名：安徽省第二人民医院；</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账号：34001448608053002706；</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开户行：建行合肥城东支行。</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备注栏写明：</w:t>
            </w:r>
            <w:r>
              <w:rPr>
                <w:rFonts w:hint="eastAsia" w:ascii="宋体" w:hAnsi="宋体" w:eastAsia="宋体" w:cs="宋体"/>
                <w:color w:val="000000" w:themeColor="text1"/>
                <w:kern w:val="0"/>
                <w:sz w:val="24"/>
                <w:szCs w:val="24"/>
                <w:lang w:val="en-US" w:eastAsia="zh-CN"/>
                <w14:textFill>
                  <w14:solidFill>
                    <w14:schemeClr w14:val="tx1"/>
                  </w14:solidFill>
                </w14:textFill>
              </w:rPr>
              <w:t>安徽省第二人民医院新媒体运维服务项目</w:t>
            </w:r>
            <w:r>
              <w:rPr>
                <w:rFonts w:hint="eastAsia"/>
                <w:color w:val="000000" w:themeColor="text1"/>
                <w:sz w:val="24"/>
                <w:szCs w:val="24"/>
                <w14:textFill>
                  <w14:solidFill>
                    <w14:schemeClr w14:val="tx1"/>
                  </w14:solidFill>
                </w14:textFill>
              </w:rPr>
              <w:t>投标保证金。</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如备注栏不注明投标保证金相关信息，因此产生的不良后果由投标人自负。</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对于未按要求提交投标保证金的投标文件，招标人将视为不响应招标要求并予以拒绝。</w:t>
            </w:r>
          </w:p>
          <w:p>
            <w:pPr>
              <w:spacing w:line="360" w:lineRule="auto"/>
              <w:rPr>
                <w:rFonts w:hint="default"/>
                <w:lang w:val="en-US" w:eastAsia="zh-CN"/>
              </w:rPr>
            </w:pPr>
            <w:r>
              <w:rPr>
                <w:rFonts w:hint="eastAsia"/>
                <w:color w:val="000000" w:themeColor="text1"/>
                <w:sz w:val="24"/>
                <w:szCs w:val="24"/>
                <w14:textFill>
                  <w14:solidFill>
                    <w14:schemeClr w14:val="tx1"/>
                  </w14:solidFill>
                </w14:textFill>
              </w:rPr>
              <w:t>中标公示结束后，未中标者由</w:t>
            </w:r>
            <w:r>
              <w:rPr>
                <w:rFonts w:hint="eastAsia"/>
                <w:color w:val="000000" w:themeColor="text1"/>
                <w:sz w:val="24"/>
                <w:szCs w:val="24"/>
                <w:lang w:val="en-US" w:eastAsia="zh-CN"/>
                <w14:textFill>
                  <w14:solidFill>
                    <w14:schemeClr w14:val="tx1"/>
                  </w14:solidFill>
                </w14:textFill>
              </w:rPr>
              <w:t>宣传统战部</w:t>
            </w:r>
            <w:r>
              <w:rPr>
                <w:rFonts w:hint="eastAsia"/>
                <w:color w:val="000000" w:themeColor="text1"/>
                <w:sz w:val="24"/>
                <w:szCs w:val="24"/>
                <w14:textFill>
                  <w14:solidFill>
                    <w14:schemeClr w14:val="tx1"/>
                  </w14:solidFill>
                </w14:textFill>
              </w:rPr>
              <w:t>代办退还投标保证金（原额无息）。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line="360" w:lineRule="auto"/>
              <w:jc w:val="center"/>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8</w:t>
            </w:r>
          </w:p>
        </w:tc>
        <w:tc>
          <w:tcPr>
            <w:tcW w:w="8008" w:type="dxa"/>
            <w:vAlign w:val="center"/>
          </w:tcPr>
          <w:p>
            <w:pPr>
              <w:spacing w:line="360" w:lineRule="auto"/>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交货地点及验收地点：</w:t>
            </w:r>
            <w:r>
              <w:rPr>
                <w:rFonts w:hint="eastAsia" w:ascii="宋体" w:hAnsi="宋体" w:eastAsia="宋体"/>
                <w:color w:val="000000" w:themeColor="text1"/>
                <w:sz w:val="24"/>
                <w:szCs w:val="24"/>
                <w14:textFill>
                  <w14:solidFill>
                    <w14:schemeClr w14:val="tx1"/>
                  </w14:solidFill>
                </w14:textFill>
              </w:rPr>
              <w:t>安徽省第二人民医院</w:t>
            </w:r>
            <w:r>
              <w:rPr>
                <w:rFonts w:hint="eastAsia" w:ascii="宋体" w:hAnsi="宋体" w:eastAsia="宋体"/>
                <w:color w:val="000000" w:themeColor="text1"/>
                <w:sz w:val="24"/>
                <w:szCs w:val="24"/>
                <w:lang w:val="en-US" w:eastAsia="zh-CN"/>
                <w14:textFill>
                  <w14:solidFill>
                    <w14:schemeClr w14:val="tx1"/>
                  </w14:solidFill>
                </w14:textFill>
              </w:rPr>
              <w:t>B楼601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line="360" w:lineRule="auto"/>
              <w:jc w:val="center"/>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9</w:t>
            </w:r>
          </w:p>
        </w:tc>
        <w:tc>
          <w:tcPr>
            <w:tcW w:w="8008" w:type="dxa"/>
            <w:vAlign w:val="center"/>
          </w:tcPr>
          <w:p>
            <w:pPr>
              <w:spacing w:line="360" w:lineRule="auto"/>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 xml:space="preserve">投标报价货币：人民币    </w:t>
            </w:r>
            <w:r>
              <w:rPr>
                <w:rFonts w:hint="eastAsia" w:ascii="宋体" w:hAnsi="宋体" w:eastAsia="宋体"/>
                <w:b/>
                <w:bCs/>
                <w:color w:val="000000" w:themeColor="text1"/>
                <w:sz w:val="24"/>
                <w:szCs w:val="24"/>
                <w14:textFill>
                  <w14:solidFill>
                    <w14:schemeClr w14:val="tx1"/>
                  </w14:solidFill>
                </w14:textFill>
              </w:rPr>
              <w:t>投标</w:t>
            </w:r>
            <w:r>
              <w:rPr>
                <w:rFonts w:hint="eastAsia" w:ascii="宋体" w:hAnsi="宋体" w:eastAsia="宋体"/>
                <w:b/>
                <w:bCs/>
                <w:color w:val="000000" w:themeColor="text1"/>
                <w:sz w:val="24"/>
                <w:szCs w:val="24"/>
                <w:lang w:val="en-US" w:eastAsia="zh-CN"/>
                <w14:textFill>
                  <w14:solidFill>
                    <w14:schemeClr w14:val="tx1"/>
                  </w14:solidFill>
                </w14:textFill>
              </w:rPr>
              <w:t>文件</w:t>
            </w:r>
            <w:r>
              <w:rPr>
                <w:rFonts w:hint="eastAsia" w:ascii="宋体" w:hAnsi="宋体" w:eastAsia="宋体"/>
                <w:b/>
                <w:bCs/>
                <w:color w:val="000000" w:themeColor="text1"/>
                <w:sz w:val="24"/>
                <w:szCs w:val="24"/>
                <w14:textFill>
                  <w14:solidFill>
                    <w14:schemeClr w14:val="tx1"/>
                  </w14:solidFill>
                </w14:textFill>
              </w:rPr>
              <w:t>：</w:t>
            </w:r>
            <w:r>
              <w:rPr>
                <w:rFonts w:hint="eastAsia" w:ascii="宋体" w:hAnsi="宋体" w:eastAsia="宋体"/>
                <w:b/>
                <w:bCs/>
                <w:color w:val="000000" w:themeColor="text1"/>
                <w:sz w:val="24"/>
                <w:szCs w:val="24"/>
                <w:lang w:val="en-US" w:eastAsia="zh-CN"/>
                <w14:textFill>
                  <w14:solidFill>
                    <w14:schemeClr w14:val="tx1"/>
                  </w14:solidFill>
                </w14:textFill>
              </w:rPr>
              <w:t>内含报价函（</w:t>
            </w:r>
            <w:r>
              <w:rPr>
                <w:rFonts w:hint="eastAsia" w:ascii="宋体" w:hAnsi="宋体"/>
                <w:b/>
                <w:sz w:val="24"/>
              </w:rPr>
              <w:t>响应报价应包括完成本项目所有服务内容所需的调研费、设计策划费、软件及平台使用费、节目制作费、宣传费、推广费、维护费、人工费、管理费、利润、税费、资料费、技术服务费、验收费、延伸服务费等完成本项目所需的一切费用。供应商应充分考虑本项目合同实施期间可能发生的一切费用，并承担由此而带来的风险。凡供应商在报价中未列明但又为本项目所必备的或遗漏的项目，采购人将一律视为已包括在其响应报价中。</w:t>
            </w:r>
            <w:r>
              <w:rPr>
                <w:rFonts w:hint="eastAsia" w:ascii="宋体" w:hAnsi="宋体" w:eastAsia="宋体"/>
                <w:b/>
                <w:bCs/>
                <w:color w:val="000000" w:themeColor="text1"/>
                <w:sz w:val="24"/>
                <w:szCs w:val="24"/>
                <w:lang w:val="en-US" w:eastAsia="zh-CN"/>
                <w14:textFill>
                  <w14:solidFill>
                    <w14:schemeClr w14:val="tx1"/>
                  </w14:solidFill>
                </w14:textFill>
              </w:rPr>
              <w:t>）密封</w:t>
            </w:r>
            <w:r>
              <w:rPr>
                <w:rFonts w:hint="eastAsia" w:ascii="宋体" w:hAnsi="宋体" w:eastAsia="宋体"/>
                <w:b/>
                <w:bCs/>
                <w:color w:val="000000" w:themeColor="text1"/>
                <w:sz w:val="24"/>
                <w:szCs w:val="24"/>
                <w14:textFill>
                  <w14:solidFill>
                    <w14:schemeClr w14:val="tx1"/>
                  </w14:solidFill>
                </w14:textFill>
              </w:rPr>
              <w:t>，盖章</w:t>
            </w:r>
            <w:r>
              <w:rPr>
                <w:rFonts w:hint="eastAsia" w:ascii="宋体" w:hAnsi="宋体" w:eastAsia="宋体"/>
                <w:b/>
                <w:bCs/>
                <w:color w:val="000000" w:themeColor="text1"/>
                <w:sz w:val="24"/>
                <w:szCs w:val="24"/>
                <w:lang w:val="en-US" w:eastAsia="zh-CN"/>
                <w14:textFill>
                  <w14:solidFill>
                    <w14:schemeClr w14:val="tx1"/>
                  </w14:solidFill>
                </w14:textFill>
              </w:rPr>
              <w:t>并在封面注明项目名称，编号，投标人及联系电话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line="360" w:lineRule="auto"/>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10</w:t>
            </w:r>
          </w:p>
        </w:tc>
        <w:tc>
          <w:tcPr>
            <w:tcW w:w="8008" w:type="dxa"/>
            <w:vAlign w:val="center"/>
          </w:tcPr>
          <w:p>
            <w:pPr>
              <w:adjustRightInd w:val="0"/>
              <w:snapToGrid w:val="0"/>
              <w:spacing w:line="360" w:lineRule="auto"/>
              <w:rPr>
                <w:rFonts w:hint="default"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投标文件递交</w:t>
            </w:r>
            <w:r>
              <w:rPr>
                <w:rFonts w:ascii="宋体" w:hAnsi="宋体" w:eastAsia="宋体"/>
                <w:b/>
                <w:bCs/>
                <w:color w:val="000000" w:themeColor="text1"/>
                <w:sz w:val="24"/>
                <w:szCs w:val="24"/>
                <w14:textFill>
                  <w14:solidFill>
                    <w14:schemeClr w14:val="tx1"/>
                  </w14:solidFill>
                </w14:textFill>
              </w:rPr>
              <w:t>地</w:t>
            </w:r>
            <w:r>
              <w:rPr>
                <w:rFonts w:hint="eastAsia" w:ascii="宋体" w:hAnsi="宋体" w:eastAsia="宋体"/>
                <w:b/>
                <w:bCs/>
                <w:color w:val="000000" w:themeColor="text1"/>
                <w:sz w:val="24"/>
                <w:szCs w:val="24"/>
                <w14:textFill>
                  <w14:solidFill>
                    <w14:schemeClr w14:val="tx1"/>
                  </w14:solidFill>
                </w14:textFill>
              </w:rPr>
              <w:t>点：</w:t>
            </w:r>
            <w:r>
              <w:rPr>
                <w:rFonts w:hint="eastAsia" w:ascii="宋体" w:hAnsi="宋体" w:eastAsia="宋体"/>
                <w:b/>
                <w:bCs/>
                <w:color w:val="000000" w:themeColor="text1"/>
                <w:sz w:val="24"/>
                <w:szCs w:val="24"/>
                <w:lang w:val="en-US" w:eastAsia="zh-CN"/>
                <w14:textFill>
                  <w14:solidFill>
                    <w14:schemeClr w14:val="tx1"/>
                  </w14:solidFill>
                </w14:textFill>
              </w:rPr>
              <w:t>安徽省第二人民医院B楼601宣传统战部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0" w:type="dxa"/>
            <w:vAlign w:val="center"/>
          </w:tcPr>
          <w:p>
            <w:pPr>
              <w:spacing w:line="360" w:lineRule="auto"/>
              <w:jc w:val="center"/>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eastAsia="宋体"/>
                <w:bCs/>
                <w:color w:val="000000" w:themeColor="text1"/>
                <w:sz w:val="24"/>
                <w:szCs w:val="24"/>
                <w:lang w:val="en-US" w:eastAsia="zh-CN"/>
                <w14:textFill>
                  <w14:solidFill>
                    <w14:schemeClr w14:val="tx1"/>
                  </w14:solidFill>
                </w14:textFill>
              </w:rPr>
              <w:t>1</w:t>
            </w:r>
          </w:p>
        </w:tc>
        <w:tc>
          <w:tcPr>
            <w:tcW w:w="8008" w:type="dxa"/>
            <w:vAlign w:val="center"/>
          </w:tcPr>
          <w:p>
            <w:pPr>
              <w:spacing w:line="360" w:lineRule="auto"/>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投标文件递交截止时间：</w:t>
            </w:r>
            <w:r>
              <w:rPr>
                <w:rFonts w:hint="eastAsia" w:ascii="宋体" w:hAnsi="宋体" w:eastAsia="宋体"/>
                <w:b/>
                <w:bCs/>
                <w:color w:val="000000" w:themeColor="text1"/>
                <w:sz w:val="24"/>
                <w:szCs w:val="24"/>
                <w:lang w:val="en-US" w:eastAsia="zh-CN"/>
                <w14:textFill>
                  <w14:solidFill>
                    <w14:schemeClr w14:val="tx1"/>
                  </w14:solidFill>
                </w14:textFill>
              </w:rPr>
              <w:t>见招标公告</w:t>
            </w:r>
            <w:r>
              <w:rPr>
                <w:rFonts w:hint="eastAsia" w:ascii="宋体" w:hAnsi="宋体" w:eastAsia="宋体"/>
                <w:bCs/>
                <w:color w:val="000000" w:themeColor="text1"/>
                <w:sz w:val="24"/>
                <w:szCs w:val="24"/>
                <w14:textFill>
                  <w14:solidFill>
                    <w14:schemeClr w14:val="tx1"/>
                  </w14:solidFill>
                </w14:textFill>
              </w:rPr>
              <w:t>（北京时间，下同）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130" w:type="dxa"/>
            <w:tcBorders>
              <w:bottom w:val="single" w:color="auto" w:sz="4" w:space="0"/>
            </w:tcBorders>
            <w:vAlign w:val="center"/>
          </w:tcPr>
          <w:p>
            <w:pPr>
              <w:spacing w:line="360" w:lineRule="auto"/>
              <w:jc w:val="center"/>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eastAsia="宋体"/>
                <w:bCs/>
                <w:color w:val="000000" w:themeColor="text1"/>
                <w:sz w:val="24"/>
                <w:szCs w:val="24"/>
                <w:lang w:val="en-US" w:eastAsia="zh-CN"/>
                <w14:textFill>
                  <w14:solidFill>
                    <w14:schemeClr w14:val="tx1"/>
                  </w14:solidFill>
                </w14:textFill>
              </w:rPr>
              <w:t>2</w:t>
            </w:r>
          </w:p>
        </w:tc>
        <w:tc>
          <w:tcPr>
            <w:tcW w:w="8008" w:type="dxa"/>
            <w:tcBorders>
              <w:bottom w:val="single" w:color="auto" w:sz="4" w:space="0"/>
            </w:tcBorders>
            <w:vAlign w:val="center"/>
          </w:tcPr>
          <w:p>
            <w:pPr>
              <w:spacing w:line="360" w:lineRule="auto"/>
              <w:rPr>
                <w:rFonts w:hint="default"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开标时间：</w:t>
            </w:r>
            <w:r>
              <w:rPr>
                <w:rFonts w:hint="eastAsia" w:ascii="宋体" w:hAnsi="宋体" w:eastAsia="宋体"/>
                <w:b/>
                <w:bCs/>
                <w:color w:val="000000" w:themeColor="text1"/>
                <w:sz w:val="24"/>
                <w:szCs w:val="24"/>
                <w:highlight w:val="none"/>
                <w:lang w:val="en-US" w:eastAsia="zh-CN"/>
                <w14:textFill>
                  <w14:solidFill>
                    <w14:schemeClr w14:val="tx1"/>
                  </w14:solidFill>
                </w14:textFill>
              </w:rPr>
              <w:t>2024年6月18日15:00</w:t>
            </w:r>
          </w:p>
          <w:p>
            <w:pPr>
              <w:spacing w:line="360" w:lineRule="auto"/>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开标地点：</w:t>
            </w:r>
            <w:r>
              <w:rPr>
                <w:rFonts w:hint="eastAsia" w:ascii="宋体" w:hAnsi="宋体" w:eastAsia="宋体" w:cs="宋体"/>
                <w:b/>
                <w:color w:val="000000" w:themeColor="text1"/>
                <w:kern w:val="0"/>
                <w:sz w:val="24"/>
                <w:highlight w:val="none"/>
                <w14:textFill>
                  <w14:solidFill>
                    <w14:schemeClr w14:val="tx1"/>
                  </w14:solidFill>
                </w14:textFill>
              </w:rPr>
              <w:t>安徽省第二人民医院</w:t>
            </w:r>
            <w:r>
              <w:rPr>
                <w:rFonts w:hint="eastAsia" w:ascii="宋体" w:hAnsi="宋体" w:eastAsia="宋体" w:cs="宋体"/>
                <w:b/>
                <w:color w:val="000000" w:themeColor="text1"/>
                <w:kern w:val="0"/>
                <w:sz w:val="24"/>
                <w:highlight w:val="none"/>
                <w:lang w:val="en-US" w:eastAsia="zh-CN"/>
                <w14:textFill>
                  <w14:solidFill>
                    <w14:schemeClr w14:val="tx1"/>
                  </w14:solidFill>
                </w14:textFill>
              </w:rPr>
              <w:t>C楼G层会议室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130" w:type="dxa"/>
            <w:tcBorders>
              <w:bottom w:val="single" w:color="auto" w:sz="4" w:space="0"/>
            </w:tcBorders>
            <w:vAlign w:val="center"/>
          </w:tcPr>
          <w:p>
            <w:pPr>
              <w:spacing w:line="360" w:lineRule="auto"/>
              <w:jc w:val="center"/>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eastAsia="宋体"/>
                <w:bCs/>
                <w:color w:val="000000" w:themeColor="text1"/>
                <w:sz w:val="24"/>
                <w:szCs w:val="24"/>
                <w:lang w:val="en-US" w:eastAsia="zh-CN"/>
                <w14:textFill>
                  <w14:solidFill>
                    <w14:schemeClr w14:val="tx1"/>
                  </w14:solidFill>
                </w14:textFill>
              </w:rPr>
              <w:t>3</w:t>
            </w:r>
          </w:p>
          <w:p>
            <w:pPr>
              <w:spacing w:line="360" w:lineRule="auto"/>
              <w:jc w:val="center"/>
              <w:rPr>
                <w:rFonts w:ascii="宋体" w:hAnsi="宋体" w:eastAsia="宋体"/>
                <w:bCs/>
                <w:color w:val="000000" w:themeColor="text1"/>
                <w:sz w:val="24"/>
                <w:szCs w:val="24"/>
                <w14:textFill>
                  <w14:solidFill>
                    <w14:schemeClr w14:val="tx1"/>
                  </w14:solidFill>
                </w14:textFill>
              </w:rPr>
            </w:pPr>
          </w:p>
        </w:tc>
        <w:tc>
          <w:tcPr>
            <w:tcW w:w="8008" w:type="dxa"/>
            <w:tcBorders>
              <w:bottom w:val="single" w:color="auto" w:sz="4" w:space="0"/>
            </w:tcBorders>
            <w:vAlign w:val="center"/>
          </w:tcPr>
          <w:p>
            <w:pPr>
              <w:widowControl/>
              <w:spacing w:line="360" w:lineRule="auto"/>
              <w:jc w:val="left"/>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1.满足《中华人民共和国政府采购法》第二十二条规定；</w:t>
            </w:r>
          </w:p>
          <w:p>
            <w:pPr>
              <w:spacing w:line="360" w:lineRule="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2.本项目的特定资格要求：</w:t>
            </w:r>
            <w:r>
              <w:rPr>
                <w:rFonts w:hint="eastAsia" w:ascii="宋体" w:hAnsi="宋体" w:eastAsia="宋体"/>
                <w:b/>
                <w:bCs/>
                <w:color w:val="000000" w:themeColor="text1"/>
                <w:sz w:val="24"/>
                <w:szCs w:val="24"/>
                <w14:textFill>
                  <w14:solidFill>
                    <w14:schemeClr w14:val="tx1"/>
                  </w14:solidFill>
                </w14:textFill>
              </w:rPr>
              <w:t>（投标文件中应附资格要求等条款所要求的相应证明资料</w:t>
            </w:r>
            <w:r>
              <w:rPr>
                <w:rFonts w:hint="eastAsia" w:ascii="宋体" w:hAnsi="宋体" w:eastAsia="宋体"/>
                <w:b/>
                <w:bCs/>
                <w:color w:val="000000" w:themeColor="text1"/>
                <w:sz w:val="24"/>
                <w:szCs w:val="24"/>
                <w:lang w:eastAsia="zh-CN"/>
                <w14:textFill>
                  <w14:solidFill>
                    <w14:schemeClr w14:val="tx1"/>
                  </w14:solidFill>
                </w14:textFill>
              </w:rPr>
              <w:t>，提</w:t>
            </w:r>
            <w:r>
              <w:rPr>
                <w:rFonts w:hint="eastAsia" w:ascii="宋体" w:hAnsi="宋体" w:eastAsia="宋体"/>
                <w:b/>
                <w:bCs/>
                <w:color w:val="000000" w:themeColor="text1"/>
                <w:sz w:val="24"/>
                <w:szCs w:val="24"/>
                <w14:textFill>
                  <w14:solidFill>
                    <w14:schemeClr w14:val="tx1"/>
                  </w14:solidFill>
                </w14:textFill>
              </w:rPr>
              <w:t>供资格审查，资格审查不通过的投标将被否决。）</w:t>
            </w:r>
          </w:p>
          <w:p>
            <w:pPr>
              <w:widowControl/>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具有有效的营业执照</w:t>
            </w:r>
            <w:r>
              <w:rPr>
                <w:rFonts w:ascii="宋体" w:hAnsi="宋体" w:eastAsia="宋体" w:cs="宋体"/>
                <w:color w:val="000000" w:themeColor="text1"/>
                <w:kern w:val="0"/>
                <w:sz w:val="24"/>
                <w14:textFill>
                  <w14:solidFill>
                    <w14:schemeClr w14:val="tx1"/>
                  </w14:solidFill>
                </w14:textFill>
              </w:rPr>
              <w:t>。</w:t>
            </w:r>
          </w:p>
          <w:p>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本项目不接受联合体投标。</w:t>
            </w:r>
          </w:p>
          <w:p>
            <w:pPr>
              <w:widowControl/>
              <w:spacing w:line="360" w:lineRule="auto"/>
              <w:jc w:val="left"/>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3.供应商存在以下不良信用记录情形之一的，不得推荐为成交候选供应商，不得确定为成交供应商：</w:t>
            </w:r>
          </w:p>
          <w:p>
            <w:pPr>
              <w:widowControl/>
              <w:spacing w:line="360" w:lineRule="auto"/>
              <w:jc w:val="left"/>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（1）供应商被人民法院列入失信被执行人的；</w:t>
            </w:r>
          </w:p>
          <w:p>
            <w:pPr>
              <w:widowControl/>
              <w:spacing w:line="360" w:lineRule="auto"/>
              <w:jc w:val="left"/>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（2）供应商或其法定代表人或拟派项目经理（项目负责人）被人民检察院列入行贿犯罪档案的；</w:t>
            </w:r>
          </w:p>
          <w:p>
            <w:pPr>
              <w:widowControl/>
              <w:spacing w:line="360" w:lineRule="auto"/>
              <w:jc w:val="left"/>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（3）供应商被税务部门列入重大税收违法案件当事人名单的；</w:t>
            </w:r>
          </w:p>
          <w:p>
            <w:pPr>
              <w:widowControl/>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（4）供应商被政府采购监管部门列入政府采购严重违法失信行为记录名单的。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1130" w:type="dxa"/>
            <w:tcBorders>
              <w:bottom w:val="single" w:color="auto" w:sz="4" w:space="0"/>
            </w:tcBorders>
            <w:vAlign w:val="center"/>
          </w:tcPr>
          <w:p>
            <w:pPr>
              <w:spacing w:line="360" w:lineRule="auto"/>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14</w:t>
            </w:r>
          </w:p>
        </w:tc>
        <w:tc>
          <w:tcPr>
            <w:tcW w:w="8008" w:type="dxa"/>
            <w:tcBorders>
              <w:bottom w:val="single" w:color="auto" w:sz="4" w:space="0"/>
            </w:tcBorders>
            <w:vAlign w:val="center"/>
          </w:tcPr>
          <w:p>
            <w:pPr>
              <w:spacing w:line="360" w:lineRule="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本项目实行资格后审，资格要求如下：（投标文件中应附资格要求等条款所要求的相应证明资料</w:t>
            </w:r>
            <w:r>
              <w:rPr>
                <w:rFonts w:hint="eastAsia" w:ascii="宋体" w:hAnsi="宋体" w:eastAsia="宋体"/>
                <w:b/>
                <w:bCs/>
                <w:color w:val="000000" w:themeColor="text1"/>
                <w:sz w:val="24"/>
                <w:szCs w:val="24"/>
                <w:lang w:eastAsia="zh-CN"/>
                <w14:textFill>
                  <w14:solidFill>
                    <w14:schemeClr w14:val="tx1"/>
                  </w14:solidFill>
                </w14:textFill>
              </w:rPr>
              <w:t>，提</w:t>
            </w:r>
            <w:r>
              <w:rPr>
                <w:rFonts w:hint="eastAsia" w:ascii="宋体" w:hAnsi="宋体" w:eastAsia="宋体"/>
                <w:b/>
                <w:bCs/>
                <w:color w:val="000000" w:themeColor="text1"/>
                <w:sz w:val="24"/>
                <w:szCs w:val="24"/>
                <w14:textFill>
                  <w14:solidFill>
                    <w14:schemeClr w14:val="tx1"/>
                  </w14:solidFill>
                </w14:textFill>
              </w:rPr>
              <w:t>供资格审查，资格审查不通过的投标将被否决。）</w:t>
            </w:r>
          </w:p>
          <w:p>
            <w:pPr>
              <w:widowControl/>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具有有效的营业执照</w:t>
            </w:r>
            <w:r>
              <w:rPr>
                <w:rFonts w:ascii="宋体" w:hAnsi="宋体" w:eastAsia="宋体" w:cs="宋体"/>
                <w:color w:val="000000" w:themeColor="text1"/>
                <w:kern w:val="0"/>
                <w:sz w:val="24"/>
                <w14:textFill>
                  <w14:solidFill>
                    <w14:schemeClr w14:val="tx1"/>
                  </w14:solidFill>
                </w14:textFill>
              </w:rPr>
              <w:t>。</w:t>
            </w:r>
          </w:p>
          <w:p>
            <w:pPr>
              <w:widowControl/>
              <w:spacing w:line="360" w:lineRule="auto"/>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30" w:type="dxa"/>
            <w:vAlign w:val="center"/>
          </w:tcPr>
          <w:p>
            <w:pPr>
              <w:spacing w:line="360" w:lineRule="auto"/>
              <w:jc w:val="center"/>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eastAsia="宋体"/>
                <w:bCs/>
                <w:color w:val="000000" w:themeColor="text1"/>
                <w:sz w:val="24"/>
                <w:szCs w:val="24"/>
                <w:lang w:val="en-US" w:eastAsia="zh-CN"/>
                <w14:textFill>
                  <w14:solidFill>
                    <w14:schemeClr w14:val="tx1"/>
                  </w14:solidFill>
                </w14:textFill>
              </w:rPr>
              <w:t>5</w:t>
            </w:r>
          </w:p>
        </w:tc>
        <w:tc>
          <w:tcPr>
            <w:tcW w:w="8008" w:type="dxa"/>
            <w:vAlign w:val="center"/>
          </w:tcPr>
          <w:p>
            <w:pPr>
              <w:spacing w:line="360" w:lineRule="auto"/>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eastAsia="宋体"/>
                <w:bCs/>
                <w:color w:val="000000" w:themeColor="text1"/>
                <w:sz w:val="24"/>
                <w:szCs w:val="24"/>
                <w:lang w:val="en-US" w:eastAsia="zh-CN"/>
                <w14:textFill>
                  <w14:solidFill>
                    <w14:schemeClr w14:val="tx1"/>
                  </w14:solidFill>
                </w14:textFill>
              </w:rPr>
              <w:t>、</w:t>
            </w:r>
            <w:r>
              <w:rPr>
                <w:rFonts w:hint="eastAsia" w:ascii="宋体" w:hAnsi="宋体" w:eastAsia="宋体"/>
                <w:bCs/>
                <w:color w:val="000000" w:themeColor="text1"/>
                <w:sz w:val="24"/>
                <w:szCs w:val="24"/>
                <w14:textFill>
                  <w14:solidFill>
                    <w14:schemeClr w14:val="tx1"/>
                  </w14:solidFill>
                </w14:textFill>
              </w:rPr>
              <w:t>按采购需求中的技术要求执行。</w:t>
            </w:r>
          </w:p>
          <w:p>
            <w:pPr>
              <w:spacing w:line="360" w:lineRule="auto"/>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2、投标人在本次招投标活动中，不得弄虚作假或虚假应标：否则将按如下方式处理：</w:t>
            </w:r>
          </w:p>
          <w:p>
            <w:pPr>
              <w:spacing w:line="360" w:lineRule="auto"/>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（1）在评标时发现的，将否决其投标资格。</w:t>
            </w:r>
          </w:p>
          <w:p>
            <w:pPr>
              <w:spacing w:line="360" w:lineRule="auto"/>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（2）已经中标且未签订合同的，则中标无效；</w:t>
            </w:r>
          </w:p>
          <w:p>
            <w:pPr>
              <w:spacing w:line="360" w:lineRule="auto"/>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（3）已经签订合同的，招标人将有权终止合同。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30" w:type="dxa"/>
            <w:vAlign w:val="center"/>
          </w:tcPr>
          <w:p>
            <w:pPr>
              <w:spacing w:line="360" w:lineRule="auto"/>
              <w:jc w:val="center"/>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eastAsia="宋体"/>
                <w:bCs/>
                <w:color w:val="000000" w:themeColor="text1"/>
                <w:sz w:val="24"/>
                <w:szCs w:val="24"/>
                <w:lang w:val="en-US" w:eastAsia="zh-CN"/>
                <w14:textFill>
                  <w14:solidFill>
                    <w14:schemeClr w14:val="tx1"/>
                  </w14:solidFill>
                </w14:textFill>
              </w:rPr>
              <w:t>6</w:t>
            </w:r>
          </w:p>
        </w:tc>
        <w:tc>
          <w:tcPr>
            <w:tcW w:w="8008" w:type="dxa"/>
            <w:vAlign w:val="center"/>
          </w:tcPr>
          <w:p>
            <w:pPr>
              <w:spacing w:line="360" w:lineRule="auto"/>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投标人需在投标文件中对</w:t>
            </w:r>
            <w:r>
              <w:rPr>
                <w:rFonts w:hint="eastAsia" w:ascii="宋体" w:hAnsi="宋体" w:eastAsia="宋体"/>
                <w:bCs/>
                <w:color w:val="000000" w:themeColor="text1"/>
                <w:sz w:val="24"/>
                <w:szCs w:val="24"/>
                <w:lang w:val="en-US" w:eastAsia="zh-CN"/>
                <w14:textFill>
                  <w14:solidFill>
                    <w14:schemeClr w14:val="tx1"/>
                  </w14:solidFill>
                </w14:textFill>
              </w:rPr>
              <w:t>服务期做</w:t>
            </w:r>
            <w:r>
              <w:rPr>
                <w:rFonts w:hint="eastAsia" w:ascii="宋体" w:hAnsi="宋体" w:eastAsia="宋体"/>
                <w:bCs/>
                <w:color w:val="000000" w:themeColor="text1"/>
                <w:sz w:val="24"/>
                <w:szCs w:val="24"/>
                <w14:textFill>
                  <w14:solidFill>
                    <w14:schemeClr w14:val="tx1"/>
                  </w14:solidFill>
                </w14:textFill>
              </w:rPr>
              <w:t>出书面承诺。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30" w:type="dxa"/>
            <w:vAlign w:val="center"/>
          </w:tcPr>
          <w:p>
            <w:pPr>
              <w:spacing w:line="360" w:lineRule="auto"/>
              <w:jc w:val="center"/>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eastAsia="宋体"/>
                <w:bCs/>
                <w:color w:val="000000" w:themeColor="text1"/>
                <w:sz w:val="24"/>
                <w:szCs w:val="24"/>
                <w:lang w:val="en-US" w:eastAsia="zh-CN"/>
                <w14:textFill>
                  <w14:solidFill>
                    <w14:schemeClr w14:val="tx1"/>
                  </w14:solidFill>
                </w14:textFill>
              </w:rPr>
              <w:t>7</w:t>
            </w:r>
          </w:p>
        </w:tc>
        <w:tc>
          <w:tcPr>
            <w:tcW w:w="8008" w:type="dxa"/>
            <w:vAlign w:val="center"/>
          </w:tcPr>
          <w:p>
            <w:pPr>
              <w:spacing w:line="360" w:lineRule="auto"/>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同时领取</w:t>
            </w:r>
            <w:r>
              <w:rPr>
                <w:rFonts w:hint="eastAsia" w:ascii="宋体" w:hAnsi="宋体" w:eastAsia="宋体"/>
                <w:bCs/>
                <w:color w:val="000000" w:themeColor="text1"/>
                <w:sz w:val="24"/>
                <w:szCs w:val="24"/>
                <w:lang w:val="en-US" w:eastAsia="zh-CN"/>
                <w14:textFill>
                  <w14:solidFill>
                    <w14:schemeClr w14:val="tx1"/>
                  </w14:solidFill>
                </w14:textFill>
              </w:rPr>
              <w:t>招标</w:t>
            </w:r>
            <w:r>
              <w:rPr>
                <w:rFonts w:hint="eastAsia" w:ascii="宋体" w:hAnsi="宋体" w:eastAsia="宋体"/>
                <w:bCs/>
                <w:color w:val="000000" w:themeColor="text1"/>
                <w:sz w:val="24"/>
                <w:szCs w:val="24"/>
                <w14:textFill>
                  <w14:solidFill>
                    <w14:schemeClr w14:val="tx1"/>
                  </w14:solidFill>
                </w14:textFill>
              </w:rPr>
              <w:t>文件的投标人若不参加本项目投标，请于投标截止时间</w:t>
            </w:r>
            <w:r>
              <w:rPr>
                <w:rFonts w:hint="eastAsia" w:ascii="宋体" w:hAnsi="宋体" w:eastAsia="宋体"/>
                <w:bCs/>
                <w:color w:val="000000" w:themeColor="text1"/>
                <w:sz w:val="24"/>
                <w:szCs w:val="24"/>
                <w:lang w:val="en-US" w:eastAsia="zh-CN"/>
                <w14:textFill>
                  <w14:solidFill>
                    <w14:schemeClr w14:val="tx1"/>
                  </w14:solidFill>
                </w14:textFill>
              </w:rPr>
              <w:t>1</w:t>
            </w:r>
            <w:r>
              <w:rPr>
                <w:rFonts w:hint="eastAsia" w:ascii="宋体" w:hAnsi="宋体" w:eastAsia="宋体"/>
                <w:bCs/>
                <w:color w:val="000000" w:themeColor="text1"/>
                <w:sz w:val="24"/>
                <w:szCs w:val="24"/>
                <w14:textFill>
                  <w14:solidFill>
                    <w14:schemeClr w14:val="tx1"/>
                  </w14:solidFill>
                </w14:textFill>
              </w:rPr>
              <w:t>天前书面告知招标人，否则招标人有权将其记入“不守信投标记录档案”。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0" w:type="dxa"/>
            <w:vAlign w:val="center"/>
          </w:tcPr>
          <w:p>
            <w:pPr>
              <w:spacing w:line="360" w:lineRule="auto"/>
              <w:jc w:val="center"/>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eastAsia="宋体"/>
                <w:bCs/>
                <w:color w:val="000000" w:themeColor="text1"/>
                <w:sz w:val="24"/>
                <w:szCs w:val="24"/>
                <w:lang w:val="en-US" w:eastAsia="zh-CN"/>
                <w14:textFill>
                  <w14:solidFill>
                    <w14:schemeClr w14:val="tx1"/>
                  </w14:solidFill>
                </w14:textFill>
              </w:rPr>
              <w:t>8</w:t>
            </w:r>
          </w:p>
        </w:tc>
        <w:tc>
          <w:tcPr>
            <w:tcW w:w="8008" w:type="dxa"/>
            <w:vAlign w:val="center"/>
          </w:tcPr>
          <w:p>
            <w:pPr>
              <w:spacing w:line="360" w:lineRule="auto"/>
              <w:rPr>
                <w:rFonts w:hint="default"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评标办法</w:t>
            </w:r>
            <w:r>
              <w:rPr>
                <w:rFonts w:hint="eastAsia"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lang w:val="en-US" w:eastAsia="zh-CN"/>
                <w14:textFill>
                  <w14:solidFill>
                    <w14:schemeClr w14:val="tx1"/>
                  </w14:solidFill>
                </w14:textFill>
              </w:rPr>
              <w:t>综合评分法    项目限价：190000元/年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0" w:type="dxa"/>
            <w:vAlign w:val="center"/>
          </w:tcPr>
          <w:p>
            <w:pPr>
              <w:spacing w:line="360" w:lineRule="auto"/>
              <w:jc w:val="center"/>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eastAsia="宋体"/>
                <w:bCs/>
                <w:color w:val="000000" w:themeColor="text1"/>
                <w:sz w:val="24"/>
                <w:szCs w:val="24"/>
                <w:lang w:val="en-US" w:eastAsia="zh-CN"/>
                <w14:textFill>
                  <w14:solidFill>
                    <w14:schemeClr w14:val="tx1"/>
                  </w14:solidFill>
                </w14:textFill>
              </w:rPr>
              <w:t>9</w:t>
            </w:r>
          </w:p>
        </w:tc>
        <w:tc>
          <w:tcPr>
            <w:tcW w:w="8008" w:type="dxa"/>
            <w:vAlign w:val="center"/>
          </w:tcPr>
          <w:p>
            <w:pPr>
              <w:widowControl/>
              <w:spacing w:line="360" w:lineRule="auto"/>
              <w:jc w:val="left"/>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综合得分最高者中标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30" w:type="dxa"/>
            <w:tcBorders>
              <w:bottom w:val="single" w:color="auto" w:sz="4" w:space="0"/>
            </w:tcBorders>
            <w:vAlign w:val="center"/>
          </w:tcPr>
          <w:p>
            <w:pPr>
              <w:spacing w:line="360" w:lineRule="auto"/>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20</w:t>
            </w:r>
          </w:p>
        </w:tc>
        <w:tc>
          <w:tcPr>
            <w:tcW w:w="8008" w:type="dxa"/>
            <w:tcBorders>
              <w:bottom w:val="single" w:color="auto" w:sz="4" w:space="0"/>
            </w:tcBorders>
            <w:vAlign w:val="center"/>
          </w:tcPr>
          <w:p>
            <w:pPr>
              <w:spacing w:line="360" w:lineRule="auto"/>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lang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文件解释权归招标人</w:t>
            </w:r>
          </w:p>
        </w:tc>
      </w:tr>
    </w:tbl>
    <w:p>
      <w:pPr>
        <w:jc w:val="left"/>
        <w:rPr>
          <w:color w:val="000000" w:themeColor="text1"/>
          <w:sz w:val="24"/>
          <w:szCs w:val="24"/>
          <w14:textFill>
            <w14:solidFill>
              <w14:schemeClr w14:val="tx1"/>
            </w14:solidFill>
          </w14:textFill>
        </w:rPr>
      </w:pPr>
    </w:p>
    <w:p>
      <w:pPr>
        <w:pStyle w:val="11"/>
        <w:rPr>
          <w:rFonts w:ascii="宋体" w:hAnsi="宋体" w:eastAsia="宋体"/>
          <w:b/>
          <w:bCs/>
          <w:color w:val="000000" w:themeColor="text1"/>
          <w:sz w:val="36"/>
          <w14:textFill>
            <w14:solidFill>
              <w14:schemeClr w14:val="tx1"/>
            </w14:solidFill>
          </w14:textFill>
        </w:rPr>
      </w:pPr>
    </w:p>
    <w:p>
      <w:pPr>
        <w:pStyle w:val="11"/>
        <w:rPr>
          <w:rFonts w:ascii="宋体" w:hAnsi="宋体" w:eastAsia="宋体"/>
          <w:b/>
          <w:bCs/>
          <w:color w:val="000000" w:themeColor="text1"/>
          <w:sz w:val="36"/>
          <w14:textFill>
            <w14:solidFill>
              <w14:schemeClr w14:val="tx1"/>
            </w14:solidFill>
          </w14:textFill>
        </w:rPr>
      </w:pPr>
    </w:p>
    <w:p>
      <w:pPr>
        <w:pStyle w:val="11"/>
        <w:rPr>
          <w:rFonts w:ascii="宋体" w:hAnsi="宋体" w:eastAsia="宋体"/>
          <w:b/>
          <w:bCs/>
          <w:color w:val="000000" w:themeColor="text1"/>
          <w:sz w:val="36"/>
          <w14:textFill>
            <w14:solidFill>
              <w14:schemeClr w14:val="tx1"/>
            </w14:solidFill>
          </w14:textFill>
        </w:rPr>
      </w:pPr>
      <w:r>
        <w:rPr>
          <w:rFonts w:ascii="宋体" w:hAnsi="宋体" w:eastAsia="宋体"/>
          <w:b/>
          <w:bCs/>
          <w:color w:val="000000" w:themeColor="text1"/>
          <w:sz w:val="36"/>
          <w14:textFill>
            <w14:solidFill>
              <w14:schemeClr w14:val="tx1"/>
            </w14:solidFill>
          </w14:textFill>
        </w:rPr>
        <w:br w:type="page"/>
      </w:r>
    </w:p>
    <w:p>
      <w:pPr>
        <w:pStyle w:val="11"/>
        <w:rPr>
          <w:rFonts w:ascii="宋体" w:hAnsi="宋体" w:eastAsia="宋体"/>
          <w:b/>
          <w:bCs/>
          <w:color w:val="000000" w:themeColor="text1"/>
          <w:sz w:val="36"/>
          <w14:textFill>
            <w14:solidFill>
              <w14:schemeClr w14:val="tx1"/>
            </w14:solidFill>
          </w14:textFill>
        </w:rPr>
      </w:pPr>
    </w:p>
    <w:p>
      <w:pPr>
        <w:numPr>
          <w:ilvl w:val="0"/>
          <w:numId w:val="3"/>
        </w:numPr>
        <w:jc w:val="center"/>
        <w:rPr>
          <w:rFonts w:hint="eastAsia" w:ascii="宋体" w:hAnsi="宋体" w:eastAsia="宋体"/>
          <w:b/>
          <w:bCs/>
          <w:color w:val="000000" w:themeColor="text1"/>
          <w:sz w:val="36"/>
          <w14:textFill>
            <w14:solidFill>
              <w14:schemeClr w14:val="tx1"/>
            </w14:solidFill>
          </w14:textFill>
        </w:rPr>
      </w:pPr>
      <w:r>
        <w:rPr>
          <w:rFonts w:hint="eastAsia" w:ascii="宋体" w:hAnsi="宋体" w:eastAsia="宋体"/>
          <w:b/>
          <w:bCs/>
          <w:color w:val="000000" w:themeColor="text1"/>
          <w:sz w:val="36"/>
          <w:lang w:val="en-US" w:eastAsia="zh-CN"/>
          <w14:textFill>
            <w14:solidFill>
              <w14:schemeClr w14:val="tx1"/>
            </w14:solidFill>
          </w14:textFill>
        </w:rPr>
        <w:t>服务</w:t>
      </w:r>
      <w:r>
        <w:rPr>
          <w:rFonts w:hint="eastAsia" w:ascii="宋体" w:hAnsi="宋体" w:eastAsia="宋体"/>
          <w:b/>
          <w:bCs/>
          <w:color w:val="000000" w:themeColor="text1"/>
          <w:sz w:val="36"/>
          <w14:textFill>
            <w14:solidFill>
              <w14:schemeClr w14:val="tx1"/>
            </w14:solidFill>
          </w14:textFill>
        </w:rPr>
        <w:t>需求一览表及技术规格要求</w:t>
      </w:r>
      <w:bookmarkStart w:id="3" w:name="_Toc439059097"/>
    </w:p>
    <w:p>
      <w:pPr>
        <w:pStyle w:val="7"/>
        <w:numPr>
          <w:ilvl w:val="2"/>
          <w:numId w:val="0"/>
        </w:numPr>
        <w:ind w:leftChars="0"/>
      </w:pPr>
    </w:p>
    <w:bookmarkEnd w:id="3"/>
    <w:p>
      <w:pPr>
        <w:jc w:val="center"/>
        <w:rPr>
          <w:rFonts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一、总 则</w:t>
      </w:r>
    </w:p>
    <w:p>
      <w:pPr>
        <w:tabs>
          <w:tab w:val="left" w:pos="3796"/>
        </w:tabs>
        <w:spacing w:line="360" w:lineRule="auto"/>
        <w:ind w:firstLine="482"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1、项目概况</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1.1项目名称：详见投标须知前附表。</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1.2招标人：详见投标须知前附表。</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1.3交货期：详见投标须知前附表。</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1.4交货地点：详见投标须知前附表。</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1.5其他：详见</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招标</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文件及技术要求。</w:t>
      </w:r>
    </w:p>
    <w:p>
      <w:pPr>
        <w:tabs>
          <w:tab w:val="left" w:pos="3796"/>
        </w:tabs>
        <w:spacing w:line="360" w:lineRule="auto"/>
        <w:ind w:firstLine="482" w:firstLineChars="200"/>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招标内容</w:t>
      </w:r>
    </w:p>
    <w:p>
      <w:pPr>
        <w:spacing w:line="360" w:lineRule="auto"/>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2.1</w:t>
      </w:r>
      <w:r>
        <w:rPr>
          <w:rFonts w:hint="eastAsia" w:asciiTheme="majorEastAsia" w:hAnsiTheme="majorEastAsia" w:eastAsiaTheme="majorEastAsia" w:cstheme="majorEastAsia"/>
          <w:b/>
          <w:bCs/>
          <w:sz w:val="24"/>
          <w:szCs w:val="24"/>
        </w:rPr>
        <w:t xml:space="preserve">项目需求 </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为采购单位提供日常内容运维、新媒体产品策划制作、视频拍摄、宣传推广等</w:t>
      </w:r>
      <w:r>
        <w:rPr>
          <w:rFonts w:hint="eastAsia" w:asciiTheme="majorEastAsia" w:hAnsiTheme="majorEastAsia" w:eastAsiaTheme="majorEastAsia" w:cstheme="majorEastAsia"/>
          <w:sz w:val="24"/>
          <w:szCs w:val="24"/>
          <w:lang w:eastAsia="zh-CN"/>
        </w:rPr>
        <w:t>服务</w:t>
      </w:r>
      <w:r>
        <w:rPr>
          <w:rFonts w:hint="eastAsia" w:asciiTheme="majorEastAsia" w:hAnsiTheme="majorEastAsia" w:eastAsiaTheme="majorEastAsia" w:cstheme="majorEastAsia"/>
          <w:sz w:val="24"/>
          <w:szCs w:val="24"/>
        </w:rPr>
        <w:t>，根据采购人要求，通过文字、图片、视频等传播方式，在保障日常发布的基础上，进一步创新政策宣传形式、丰富宣传内容和拓展传播渠道，加强多形式策划和多渠道推广。</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中标供应商需根据采购人具体要求，对采购人提供的微信相关信息进行编辑，信息由采购人提供。中标供应商要保证信息发布质量，提供以下服务： </w:t>
      </w:r>
    </w:p>
    <w:p>
      <w:pPr>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lang w:val="en-US" w:eastAsia="zh-CN"/>
        </w:rPr>
        <w:t>2.2</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bCs/>
          <w:sz w:val="24"/>
          <w:szCs w:val="24"/>
        </w:rPr>
        <w:t>微信运维</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按主办单位要求做好“安徽省第二人民医院”“安徽省眼科医院”微信公众号信息发布工作。</w:t>
      </w:r>
      <w:r>
        <w:rPr>
          <w:rFonts w:hint="eastAsia" w:asciiTheme="majorEastAsia" w:hAnsiTheme="majorEastAsia" w:eastAsiaTheme="majorEastAsia" w:cstheme="majorEastAsia"/>
          <w:sz w:val="24"/>
          <w:szCs w:val="24"/>
          <w:lang w:eastAsia="zh-CN"/>
        </w:rPr>
        <w:t>其中，</w:t>
      </w:r>
      <w:r>
        <w:rPr>
          <w:rFonts w:hint="eastAsia" w:asciiTheme="majorEastAsia" w:hAnsiTheme="majorEastAsia" w:eastAsiaTheme="majorEastAsia" w:cstheme="majorEastAsia"/>
          <w:sz w:val="24"/>
          <w:szCs w:val="24"/>
        </w:rPr>
        <w:t>“安徽省第二人民医院”</w:t>
      </w:r>
      <w:r>
        <w:rPr>
          <w:rFonts w:hint="eastAsia" w:asciiTheme="majorEastAsia" w:hAnsiTheme="majorEastAsia" w:eastAsiaTheme="majorEastAsia" w:cstheme="majorEastAsia"/>
          <w:sz w:val="24"/>
          <w:szCs w:val="24"/>
          <w:lang w:eastAsia="zh-CN"/>
        </w:rPr>
        <w:t>微信公众号</w:t>
      </w:r>
      <w:r>
        <w:rPr>
          <w:rFonts w:hint="eastAsia" w:asciiTheme="majorEastAsia" w:hAnsiTheme="majorEastAsia" w:eastAsiaTheme="majorEastAsia" w:cstheme="majorEastAsia"/>
          <w:sz w:val="24"/>
          <w:szCs w:val="24"/>
        </w:rPr>
        <w:t>每周</w:t>
      </w:r>
      <w:r>
        <w:rPr>
          <w:rFonts w:hint="eastAsia" w:asciiTheme="majorEastAsia" w:hAnsiTheme="majorEastAsia" w:eastAsiaTheme="majorEastAsia" w:cstheme="majorEastAsia"/>
          <w:sz w:val="24"/>
          <w:szCs w:val="24"/>
          <w:lang w:eastAsia="zh-CN"/>
        </w:rPr>
        <w:t>推送</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次，每次推送</w:t>
      </w:r>
      <w:r>
        <w:rPr>
          <w:rFonts w:hint="eastAsia" w:asciiTheme="majorEastAsia" w:hAnsiTheme="majorEastAsia" w:eastAsiaTheme="majorEastAsia" w:cstheme="majorEastAsia"/>
          <w:sz w:val="24"/>
          <w:szCs w:val="24"/>
          <w:lang w:val="en-US" w:eastAsia="zh-CN"/>
        </w:rPr>
        <w:t>2—8</w:t>
      </w:r>
      <w:r>
        <w:rPr>
          <w:rFonts w:hint="eastAsia" w:asciiTheme="majorEastAsia" w:hAnsiTheme="majorEastAsia" w:eastAsiaTheme="majorEastAsia" w:cstheme="majorEastAsia"/>
          <w:sz w:val="24"/>
          <w:szCs w:val="24"/>
        </w:rPr>
        <w:t>条信息</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“安徽省眼科医院”微信公众号</w:t>
      </w:r>
      <w:r>
        <w:rPr>
          <w:rFonts w:hint="eastAsia" w:asciiTheme="majorEastAsia" w:hAnsiTheme="majorEastAsia" w:eastAsiaTheme="majorEastAsia" w:cstheme="majorEastAsia"/>
          <w:sz w:val="24"/>
          <w:szCs w:val="24"/>
          <w:lang w:eastAsia="zh-CN"/>
        </w:rPr>
        <w:t>每周推送</w:t>
      </w:r>
      <w:r>
        <w:rPr>
          <w:rFonts w:hint="eastAsia" w:asciiTheme="majorEastAsia" w:hAnsiTheme="majorEastAsia" w:eastAsiaTheme="majorEastAsia" w:cstheme="majorEastAsia"/>
          <w:sz w:val="24"/>
          <w:szCs w:val="24"/>
          <w:lang w:val="en-US" w:eastAsia="zh-CN"/>
        </w:rPr>
        <w:t>1次，</w:t>
      </w:r>
      <w:r>
        <w:rPr>
          <w:rFonts w:hint="eastAsia" w:asciiTheme="majorEastAsia" w:hAnsiTheme="majorEastAsia" w:eastAsiaTheme="majorEastAsia" w:cstheme="majorEastAsia"/>
          <w:sz w:val="24"/>
          <w:szCs w:val="24"/>
        </w:rPr>
        <w:t>每次推送</w:t>
      </w:r>
      <w:r>
        <w:rPr>
          <w:rFonts w:hint="eastAsia" w:asciiTheme="majorEastAsia" w:hAnsiTheme="majorEastAsia" w:eastAsiaTheme="majorEastAsia" w:cstheme="majorEastAsia"/>
          <w:sz w:val="24"/>
          <w:szCs w:val="24"/>
          <w:lang w:val="en-US" w:eastAsia="zh-CN"/>
        </w:rPr>
        <w:t>1—2</w:t>
      </w:r>
      <w:r>
        <w:rPr>
          <w:rFonts w:hint="eastAsia" w:asciiTheme="majorEastAsia" w:hAnsiTheme="majorEastAsia" w:eastAsiaTheme="majorEastAsia" w:cstheme="majorEastAsia"/>
          <w:sz w:val="24"/>
          <w:szCs w:val="24"/>
        </w:rPr>
        <w:t>条信息。</w:t>
      </w:r>
    </w:p>
    <w:p>
      <w:pPr>
        <w:spacing w:line="360" w:lineRule="auto"/>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w:t>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bCs/>
          <w:sz w:val="24"/>
          <w:szCs w:val="24"/>
        </w:rPr>
        <w:t>新媒体产品制作</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围绕指定主题，利用新媒体传播方式，策划并制作适于移动端传播的新媒体策划全</w:t>
      </w:r>
      <w:r>
        <w:rPr>
          <w:rFonts w:hint="eastAsia" w:asciiTheme="majorEastAsia" w:hAnsiTheme="majorEastAsia" w:eastAsiaTheme="majorEastAsia" w:cstheme="majorEastAsia"/>
          <w:sz w:val="24"/>
          <w:szCs w:val="24"/>
          <w:lang w:eastAsia="zh-CN"/>
        </w:rPr>
        <w:t>年不少于</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个，具体形式包括</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图说、手绘、海报、H5。</w:t>
      </w:r>
    </w:p>
    <w:p>
      <w:pPr>
        <w:spacing w:line="360" w:lineRule="auto"/>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2.4</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bCs/>
          <w:sz w:val="24"/>
          <w:szCs w:val="24"/>
        </w:rPr>
        <w:t>线上活动</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中标供应商全年提供线上活动平台的技术支持1次。</w:t>
      </w:r>
    </w:p>
    <w:p>
      <w:pPr>
        <w:spacing w:line="360" w:lineRule="auto"/>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2.5</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bCs/>
          <w:sz w:val="24"/>
          <w:szCs w:val="24"/>
        </w:rPr>
        <w:t>视频拍摄及包装</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在医师节等重要时间节点提供</w:t>
      </w:r>
      <w:r>
        <w:rPr>
          <w:rFonts w:hint="eastAsia" w:asciiTheme="majorEastAsia" w:hAnsiTheme="majorEastAsia" w:eastAsiaTheme="majorEastAsia" w:cstheme="majorEastAsia"/>
          <w:sz w:val="24"/>
          <w:szCs w:val="24"/>
        </w:rPr>
        <w:t>视频拍摄及后期剪辑</w:t>
      </w:r>
      <w:r>
        <w:rPr>
          <w:rFonts w:hint="eastAsia" w:asciiTheme="majorEastAsia" w:hAnsiTheme="majorEastAsia" w:eastAsiaTheme="majorEastAsia" w:cstheme="majorEastAsia"/>
          <w:sz w:val="24"/>
          <w:szCs w:val="24"/>
          <w:lang w:eastAsia="zh-CN"/>
        </w:rPr>
        <w:t>服务，全年不少于</w:t>
      </w:r>
      <w:r>
        <w:rPr>
          <w:rFonts w:hint="eastAsia" w:asciiTheme="majorEastAsia" w:hAnsiTheme="majorEastAsia" w:eastAsiaTheme="majorEastAsia" w:cstheme="majorEastAsia"/>
          <w:sz w:val="24"/>
          <w:szCs w:val="24"/>
          <w:lang w:val="en-US" w:eastAsia="zh-CN"/>
        </w:rPr>
        <w:t>4次</w:t>
      </w:r>
      <w:r>
        <w:rPr>
          <w:rFonts w:hint="eastAsia" w:asciiTheme="majorEastAsia" w:hAnsiTheme="majorEastAsia" w:eastAsiaTheme="majorEastAsia" w:cstheme="majorEastAsia"/>
          <w:sz w:val="24"/>
          <w:szCs w:val="24"/>
          <w:lang w:eastAsia="zh-CN"/>
        </w:rPr>
        <w:t>。</w:t>
      </w:r>
    </w:p>
    <w:p>
      <w:pPr>
        <w:spacing w:line="360" w:lineRule="auto"/>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 2.6 网络推广</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利用供应商相关媒体平台和政务平台，对账号优质内容和活动做好网络推广，全年不少于20次。</w:t>
      </w:r>
    </w:p>
    <w:p>
      <w:pPr>
        <w:spacing w:line="360" w:lineRule="auto"/>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 2.7 新媒体培训</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针对采购人相关工作人员，对新媒体策划等方面进行培训，提高有关人员工作水平。</w:t>
      </w:r>
    </w:p>
    <w:p>
      <w:pPr>
        <w:rPr>
          <w:rFonts w:hint="eastAsia"/>
          <w:lang w:val="en-US" w:eastAsia="zh-CN"/>
        </w:rPr>
      </w:pPr>
    </w:p>
    <w:p>
      <w:pPr>
        <w:tabs>
          <w:tab w:val="left" w:pos="4088"/>
        </w:tabs>
        <w:spacing w:line="360" w:lineRule="auto"/>
        <w:ind w:firstLine="482"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3、合格的投标人</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3.1符合投标须知前附表的要求，且下载</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招标</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文件的单位。</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3.2能够承诺并遵守本</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招标</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文件的全部要求，中标后未经招标人同意不得以任何形式转包。</w:t>
      </w:r>
    </w:p>
    <w:p>
      <w:pPr>
        <w:spacing w:line="360" w:lineRule="auto"/>
        <w:ind w:firstLine="482" w:firstLineChars="200"/>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3.3本项目实行资格预审。投标人在提交投标文件时，投标文件中须提供本项目招标文件所要求的资质、资格等条件的相关证明资料，证明其满足招标资格要求。如果经评审确认，投标人不能达到招标要求的资质、资格等要求时，其投标将被否决</w:t>
      </w: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w:t>
      </w:r>
    </w:p>
    <w:p>
      <w:pPr>
        <w:widowControl/>
        <w:spacing w:line="360" w:lineRule="auto"/>
        <w:ind w:firstLine="480" w:firstLineChars="200"/>
        <w:jc w:val="lef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招标</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小组对报价人提供的资料进行审验，报价材料里面包括：</w:t>
      </w:r>
    </w:p>
    <w:p>
      <w:pPr>
        <w:widowControl/>
        <w:spacing w:line="360" w:lineRule="auto"/>
        <w:ind w:firstLine="480" w:firstLineChars="200"/>
        <w:jc w:val="lef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3.3.</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1、法定代表人本人身份证</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或法定代表人授权委托书和委托代理人身份证</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w:t>
      </w:r>
    </w:p>
    <w:p>
      <w:pPr>
        <w:widowControl/>
        <w:spacing w:line="360" w:lineRule="auto"/>
        <w:ind w:firstLine="480" w:firstLineChars="200"/>
        <w:jc w:val="lef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3.3.</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2、有效的营业执照副本，组织机构代码证副本，税务登记证副本（或三合一有效证件）。</w:t>
      </w:r>
    </w:p>
    <w:p>
      <w:pPr>
        <w:widowControl/>
        <w:spacing w:line="360" w:lineRule="auto"/>
        <w:ind w:firstLine="480" w:firstLineChars="200"/>
        <w:jc w:val="lef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3.3.</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3、投标单位有效的资质证书。</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没有提供相关材料的，直接废标。</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4、词语定义</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本招标文件中的下列名词除有特别说明，其定义如下：</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4.1“招标人”本次招标文件中指安徽省</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第二人民医院</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4.2“投标人”指响应招标文件要求，参加投标竞争并向招标人提交投标文件的制造商或供货商（为了便于表达，本文其他地方也直接描述为“</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经销商/代理商”</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4.3“货物”（为了便于表达，本文其他地方也直接描述为“设备”或“材料”）指投标人按</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招标</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文件规定，须向招标人提供的一切设备、材料、机械、仪器仪表、备品备件、工具、软件、物资、手册</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及其他有关</w:t>
      </w:r>
      <w:r>
        <w:rPr>
          <w:rFonts w:hint="eastAsia" w:asciiTheme="majorEastAsia" w:hAnsiTheme="majorEastAsia" w:eastAsiaTheme="majorEastAsia" w:cstheme="majorEastAsia"/>
          <w:color w:val="000000" w:themeColor="text1"/>
          <w:sz w:val="24"/>
          <w:szCs w:val="24"/>
          <w14:textFill>
            <w14:solidFill>
              <w14:schemeClr w14:val="tx1"/>
            </w14:solidFill>
          </w14:textFill>
        </w:rPr>
        <w:t>技术资料等。</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4.4“服务”指</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招标</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文件规定投标人须承担的安装、调试、检测验收、技术协助、校准、软件升级（如要求）、培训以及售后服务等其他一切类似的义务。</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5、投标费用</w:t>
      </w:r>
    </w:p>
    <w:p>
      <w:pPr>
        <w:spacing w:line="360" w:lineRule="auto"/>
        <w:ind w:firstLine="480" w:firstLineChars="200"/>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投标人应承担参加投标活动所支出的一切费用</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无论投标结果如何</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招标人对上述费用不负任何责任。</w:t>
      </w:r>
    </w:p>
    <w:p>
      <w:pPr>
        <w:spacing w:line="240" w:lineRule="auto"/>
        <w:jc w:val="center"/>
        <w:rPr>
          <w:rFonts w:hint="eastAsia" w:ascii="宋体" w:hAnsi="宋体" w:eastAsia="宋体"/>
          <w:b/>
          <w:bCs/>
          <w:color w:val="000000" w:themeColor="text1"/>
          <w:sz w:val="30"/>
          <w14:textFill>
            <w14:solidFill>
              <w14:schemeClr w14:val="tx1"/>
            </w14:solidFill>
          </w14:textFill>
        </w:rPr>
      </w:pPr>
      <w:r>
        <w:rPr>
          <w:rFonts w:hint="eastAsia" w:ascii="宋体" w:hAnsi="宋体" w:eastAsia="宋体"/>
          <w:b/>
          <w:bCs/>
          <w:color w:val="000000" w:themeColor="text1"/>
          <w:sz w:val="30"/>
          <w14:textFill>
            <w14:solidFill>
              <w14:schemeClr w14:val="tx1"/>
            </w14:solidFill>
          </w14:textFill>
        </w:rPr>
        <w:br w:type="page"/>
      </w:r>
    </w:p>
    <w:p>
      <w:pPr>
        <w:spacing w:line="240" w:lineRule="auto"/>
        <w:jc w:val="center"/>
        <w:rPr>
          <w:rFonts w:ascii="宋体" w:hAnsi="宋体" w:eastAsia="宋体"/>
          <w:b/>
          <w:bCs/>
          <w:color w:val="000000" w:themeColor="text1"/>
          <w:sz w:val="30"/>
          <w14:textFill>
            <w14:solidFill>
              <w14:schemeClr w14:val="tx1"/>
            </w14:solidFill>
          </w14:textFill>
        </w:rPr>
      </w:pPr>
      <w:r>
        <w:rPr>
          <w:rFonts w:hint="eastAsia" w:ascii="宋体" w:hAnsi="宋体" w:eastAsia="宋体"/>
          <w:b/>
          <w:bCs/>
          <w:color w:val="000000" w:themeColor="text1"/>
          <w:sz w:val="30"/>
          <w14:textFill>
            <w14:solidFill>
              <w14:schemeClr w14:val="tx1"/>
            </w14:solidFill>
          </w14:textFill>
        </w:rPr>
        <w:t>二、</w:t>
      </w:r>
      <w:r>
        <w:rPr>
          <w:rFonts w:hint="eastAsia" w:ascii="宋体" w:hAnsi="宋体" w:eastAsia="宋体"/>
          <w:b/>
          <w:bCs/>
          <w:color w:val="000000" w:themeColor="text1"/>
          <w:sz w:val="30"/>
          <w:lang w:val="en-US" w:eastAsia="zh-CN"/>
          <w14:textFill>
            <w14:solidFill>
              <w14:schemeClr w14:val="tx1"/>
            </w14:solidFill>
          </w14:textFill>
        </w:rPr>
        <w:t>招标</w:t>
      </w:r>
      <w:r>
        <w:rPr>
          <w:rFonts w:hint="eastAsia" w:ascii="宋体" w:hAnsi="宋体" w:eastAsia="宋体"/>
          <w:b/>
          <w:bCs/>
          <w:color w:val="000000" w:themeColor="text1"/>
          <w:sz w:val="30"/>
          <w14:textFill>
            <w14:solidFill>
              <w14:schemeClr w14:val="tx1"/>
            </w14:solidFill>
          </w14:textFill>
        </w:rPr>
        <w:t>文件</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6、招标文件组成</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文件内容除包括下列内容外，还包括本须知第8条、第9条招标人对招标文件的澄清及修改内容：</w:t>
      </w:r>
    </w:p>
    <w:p>
      <w:pPr>
        <w:spacing w:line="360" w:lineRule="auto"/>
        <w:ind w:firstLine="720" w:firstLineChars="3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公告</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第一章  投标人须知</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第二章  </w:t>
      </w:r>
      <w:r>
        <w:rPr>
          <w:rFonts w:hint="eastAsia" w:ascii="宋体" w:hAnsi="宋体" w:eastAsia="宋体"/>
          <w:color w:val="000000" w:themeColor="text1"/>
          <w:sz w:val="24"/>
          <w:lang w:val="en-US" w:eastAsia="zh-CN"/>
          <w14:textFill>
            <w14:solidFill>
              <w14:schemeClr w14:val="tx1"/>
            </w14:solidFill>
          </w14:textFill>
        </w:rPr>
        <w:t>服务</w:t>
      </w:r>
      <w:r>
        <w:rPr>
          <w:rFonts w:hint="eastAsia" w:ascii="宋体" w:hAnsi="宋体" w:eastAsia="宋体"/>
          <w:color w:val="000000" w:themeColor="text1"/>
          <w:sz w:val="24"/>
          <w14:textFill>
            <w14:solidFill>
              <w14:schemeClr w14:val="tx1"/>
            </w14:solidFill>
          </w14:textFill>
        </w:rPr>
        <w:t>需求一览表及技术规格要求</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第三章  </w:t>
      </w:r>
      <w:r>
        <w:rPr>
          <w:rFonts w:hint="eastAsia" w:ascii="宋体" w:hAnsi="宋体" w:eastAsia="宋体"/>
          <w:color w:val="000000" w:themeColor="text1"/>
          <w:sz w:val="24"/>
          <w:lang w:val="en-US" w:eastAsia="zh-CN"/>
          <w14:textFill>
            <w14:solidFill>
              <w14:schemeClr w14:val="tx1"/>
            </w14:solidFill>
          </w14:textFill>
        </w:rPr>
        <w:t>评审</w:t>
      </w:r>
      <w:r>
        <w:rPr>
          <w:rFonts w:hint="eastAsia" w:ascii="宋体" w:hAnsi="宋体" w:eastAsia="宋体"/>
          <w:color w:val="000000" w:themeColor="text1"/>
          <w:sz w:val="24"/>
          <w14:textFill>
            <w14:solidFill>
              <w14:schemeClr w14:val="tx1"/>
            </w14:solidFill>
          </w14:textFill>
        </w:rPr>
        <w:t>办法</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第四章  附件及附表</w:t>
      </w:r>
    </w:p>
    <w:p>
      <w:pPr>
        <w:spacing w:line="360" w:lineRule="auto"/>
        <w:ind w:firstLine="720" w:firstLineChars="3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第五章  招标人提供的其他资料</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7、招标文件的答疑</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任何要求对</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文件进行澄清的投标人，均应将需要澄清的问题按投标须知前附表规定方式提出（逾期招标人有权不予接受及回复）</w:t>
      </w:r>
      <w:r>
        <w:rPr>
          <w:rFonts w:hint="eastAsia" w:ascii="宋体" w:hAnsi="宋体" w:eastAsia="宋体"/>
          <w:color w:val="000000" w:themeColor="text1"/>
          <w:sz w:val="24"/>
          <w:lang w:eastAsia="zh-CN"/>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招标人在投标截止时间之前对招标文件的澄清要求将予以答复并按投标须知前附表的方式公布给每个领取</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文件的投标人（答复中包括所问问题，但不包括问题的来源）。</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8、招标文件的修改</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1在投标截止期前的任何时候，招标人可主动地或在解答投标人提出的问题时对</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文件进行修改。</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文件的修改将按投标须知前附表的方式公布给所有领取</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文件的投标人，并对其具有约束力。</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lang w:val="en-US" w:eastAsia="zh-CN"/>
          <w14:textFill>
            <w14:solidFill>
              <w14:schemeClr w14:val="tx1"/>
            </w14:solidFill>
          </w14:textFill>
        </w:rPr>
        <w:t>3招标</w:t>
      </w:r>
      <w:r>
        <w:rPr>
          <w:rFonts w:hint="eastAsia" w:ascii="宋体" w:hAnsi="宋体" w:eastAsia="宋体"/>
          <w:color w:val="000000" w:themeColor="text1"/>
          <w:sz w:val="24"/>
          <w14:textFill>
            <w14:solidFill>
              <w14:schemeClr w14:val="tx1"/>
            </w14:solidFill>
          </w14:textFill>
        </w:rPr>
        <w:t>文件澄清和修改的内容作为</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文件的一部分，对投标人具有同样的约束力。</w:t>
      </w:r>
    </w:p>
    <w:p>
      <w:pPr>
        <w:spacing w:line="360" w:lineRule="auto"/>
        <w:ind w:firstLine="480" w:firstLineChars="200"/>
        <w:rPr>
          <w:rFonts w:ascii="宋体" w:hAnsi="宋体" w:eastAsia="宋体"/>
          <w:b w:val="0"/>
          <w:bCs/>
          <w:color w:val="000000" w:themeColor="text1"/>
          <w:sz w:val="24"/>
          <w14:textFill>
            <w14:solidFill>
              <w14:schemeClr w14:val="tx1"/>
            </w14:solidFill>
          </w14:textFill>
        </w:rPr>
      </w:pPr>
      <w:r>
        <w:rPr>
          <w:rFonts w:hint="eastAsia" w:ascii="宋体" w:hAnsi="宋体" w:eastAsia="宋体"/>
          <w:b w:val="0"/>
          <w:bCs/>
          <w:color w:val="000000" w:themeColor="text1"/>
          <w:sz w:val="24"/>
          <w14:textFill>
            <w14:solidFill>
              <w14:schemeClr w14:val="tx1"/>
            </w14:solidFill>
          </w14:textFill>
        </w:rPr>
        <w:t>注：如果投标人在投标须知规定的截止时间前未对</w:t>
      </w:r>
      <w:r>
        <w:rPr>
          <w:rFonts w:hint="eastAsia" w:ascii="宋体" w:hAnsi="宋体" w:eastAsia="宋体"/>
          <w:b w:val="0"/>
          <w:bCs/>
          <w:color w:val="000000" w:themeColor="text1"/>
          <w:sz w:val="24"/>
          <w:lang w:val="en-US" w:eastAsia="zh-CN"/>
          <w14:textFill>
            <w14:solidFill>
              <w14:schemeClr w14:val="tx1"/>
            </w14:solidFill>
          </w14:textFill>
        </w:rPr>
        <w:t>招标</w:t>
      </w:r>
      <w:r>
        <w:rPr>
          <w:rFonts w:hint="eastAsia" w:ascii="宋体" w:hAnsi="宋体" w:eastAsia="宋体"/>
          <w:b w:val="0"/>
          <w:bCs/>
          <w:color w:val="000000" w:themeColor="text1"/>
          <w:sz w:val="24"/>
          <w14:textFill>
            <w14:solidFill>
              <w14:schemeClr w14:val="tx1"/>
            </w14:solidFill>
          </w14:textFill>
        </w:rPr>
        <w:t>文件有关条款提出疑问或异议，视为充分理解</w:t>
      </w:r>
      <w:r>
        <w:rPr>
          <w:rFonts w:hint="eastAsia" w:ascii="宋体" w:hAnsi="宋体" w:eastAsia="宋体"/>
          <w:b w:val="0"/>
          <w:bCs/>
          <w:color w:val="000000" w:themeColor="text1"/>
          <w:sz w:val="24"/>
          <w:lang w:val="en-US" w:eastAsia="zh-CN"/>
          <w14:textFill>
            <w14:solidFill>
              <w14:schemeClr w14:val="tx1"/>
            </w14:solidFill>
          </w14:textFill>
        </w:rPr>
        <w:t>招标</w:t>
      </w:r>
      <w:r>
        <w:rPr>
          <w:rFonts w:hint="eastAsia" w:ascii="宋体" w:hAnsi="宋体" w:eastAsia="宋体"/>
          <w:b w:val="0"/>
          <w:bCs/>
          <w:color w:val="000000" w:themeColor="text1"/>
          <w:sz w:val="24"/>
          <w14:textFill>
            <w14:solidFill>
              <w14:schemeClr w14:val="tx1"/>
            </w14:solidFill>
          </w14:textFill>
        </w:rPr>
        <w:t>文件所有内容（但不代表其投标一定实质响应招标要求），逾期招标人不再接受对</w:t>
      </w:r>
      <w:r>
        <w:rPr>
          <w:rFonts w:hint="eastAsia" w:ascii="宋体" w:hAnsi="宋体" w:eastAsia="宋体"/>
          <w:b w:val="0"/>
          <w:bCs/>
          <w:color w:val="000000" w:themeColor="text1"/>
          <w:sz w:val="24"/>
          <w:lang w:val="en-US" w:eastAsia="zh-CN"/>
          <w14:textFill>
            <w14:solidFill>
              <w14:schemeClr w14:val="tx1"/>
            </w14:solidFill>
          </w14:textFill>
        </w:rPr>
        <w:t>招标</w:t>
      </w:r>
      <w:r>
        <w:rPr>
          <w:rFonts w:hint="eastAsia" w:ascii="宋体" w:hAnsi="宋体" w:eastAsia="宋体"/>
          <w:b w:val="0"/>
          <w:bCs/>
          <w:color w:val="000000" w:themeColor="text1"/>
          <w:sz w:val="24"/>
          <w14:textFill>
            <w14:solidFill>
              <w14:schemeClr w14:val="tx1"/>
            </w14:solidFill>
          </w14:textFill>
        </w:rPr>
        <w:t>文件的异议或投诉。</w:t>
      </w:r>
      <w:r>
        <w:rPr>
          <w:rFonts w:hint="eastAsia" w:ascii="宋体" w:hAnsi="宋体" w:eastAsia="宋体"/>
          <w:b w:val="0"/>
          <w:bCs/>
          <w:color w:val="000000" w:themeColor="text1"/>
          <w:sz w:val="24"/>
          <w:lang w:val="en-US" w:eastAsia="zh-CN"/>
          <w14:textFill>
            <w14:solidFill>
              <w14:schemeClr w14:val="tx1"/>
            </w14:solidFill>
          </w14:textFill>
        </w:rPr>
        <w:t>招标</w:t>
      </w:r>
      <w:r>
        <w:rPr>
          <w:rFonts w:hint="eastAsia" w:ascii="宋体" w:hAnsi="宋体" w:eastAsia="宋体"/>
          <w:b w:val="0"/>
          <w:bCs/>
          <w:color w:val="000000" w:themeColor="text1"/>
          <w:sz w:val="24"/>
          <w14:textFill>
            <w14:solidFill>
              <w14:schemeClr w14:val="tx1"/>
            </w14:solidFill>
          </w14:textFill>
        </w:rPr>
        <w:t>文件如出现前后不一致且投标人未提出澄清或异议要求，均以招标人解释为准。</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9、招标文件解释</w:t>
      </w:r>
    </w:p>
    <w:p>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文件的最终解释权归招标人所有。</w:t>
      </w:r>
    </w:p>
    <w:p>
      <w:pPr>
        <w:jc w:val="center"/>
        <w:rPr>
          <w:rFonts w:hint="eastAsia" w:ascii="宋体" w:hAnsi="宋体" w:eastAsia="宋体"/>
          <w:b/>
          <w:bCs/>
          <w:color w:val="000000" w:themeColor="text1"/>
          <w:sz w:val="30"/>
          <w14:textFill>
            <w14:solidFill>
              <w14:schemeClr w14:val="tx1"/>
            </w14:solidFill>
          </w14:textFill>
        </w:rPr>
      </w:pPr>
      <w:r>
        <w:rPr>
          <w:rFonts w:hint="eastAsia" w:ascii="宋体" w:hAnsi="宋体" w:eastAsia="宋体"/>
          <w:b/>
          <w:bCs/>
          <w:color w:val="000000" w:themeColor="text1"/>
          <w:sz w:val="30"/>
          <w14:textFill>
            <w14:solidFill>
              <w14:schemeClr w14:val="tx1"/>
            </w14:solidFill>
          </w14:textFill>
        </w:rPr>
        <w:br w:type="page"/>
      </w:r>
    </w:p>
    <w:p>
      <w:pPr>
        <w:jc w:val="center"/>
        <w:rPr>
          <w:rFonts w:ascii="宋体" w:hAnsi="宋体" w:eastAsia="宋体"/>
          <w:b/>
          <w:bCs/>
          <w:color w:val="000000" w:themeColor="text1"/>
          <w:sz w:val="30"/>
          <w14:textFill>
            <w14:solidFill>
              <w14:schemeClr w14:val="tx1"/>
            </w14:solidFill>
          </w14:textFill>
        </w:rPr>
      </w:pPr>
      <w:r>
        <w:rPr>
          <w:rFonts w:hint="eastAsia" w:ascii="宋体" w:hAnsi="宋体" w:eastAsia="宋体"/>
          <w:b/>
          <w:bCs/>
          <w:color w:val="000000" w:themeColor="text1"/>
          <w:sz w:val="30"/>
          <w14:textFill>
            <w14:solidFill>
              <w14:schemeClr w14:val="tx1"/>
            </w14:solidFill>
          </w14:textFill>
        </w:rPr>
        <w:t>三、投标文件的编写</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10、投标文件的语言和计量单位</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10.1</w:t>
      </w:r>
      <w:r>
        <w:rPr>
          <w:rFonts w:hint="eastAsia" w:ascii="宋体" w:hAnsi="宋体" w:eastAsia="宋体"/>
          <w:color w:val="000000" w:themeColor="text1"/>
          <w:sz w:val="24"/>
          <w:szCs w:val="24"/>
          <w:lang w:val="en-US" w:eastAsia="zh-CN"/>
          <w14:textFill>
            <w14:solidFill>
              <w14:schemeClr w14:val="tx1"/>
            </w14:solidFill>
          </w14:textFill>
        </w:rPr>
        <w:t>投标</w:t>
      </w:r>
      <w:r>
        <w:rPr>
          <w:rFonts w:hint="eastAsia" w:ascii="宋体" w:hAnsi="宋体" w:eastAsia="宋体"/>
          <w:color w:val="000000" w:themeColor="text1"/>
          <w:sz w:val="24"/>
          <w:szCs w:val="24"/>
          <w14:textFill>
            <w14:solidFill>
              <w14:schemeClr w14:val="tx1"/>
            </w14:solidFill>
          </w14:textFill>
        </w:rPr>
        <w:t>文件及投标人与招标人之间往来的一切函电必须使用汉语。</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10.2计量单位应使用中华人民共和国法定计量单位</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请将投标文件目录页码标注清晰</w:t>
      </w:r>
      <w:r>
        <w:rPr>
          <w:rFonts w:hint="eastAsia" w:ascii="宋体" w:hAnsi="宋体" w:eastAsia="宋体"/>
          <w:color w:val="000000" w:themeColor="text1"/>
          <w:sz w:val="24"/>
          <w:szCs w:val="24"/>
          <w14:textFill>
            <w14:solidFill>
              <w14:schemeClr w14:val="tx1"/>
            </w14:solidFill>
          </w14:textFill>
        </w:rPr>
        <w:t>。</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11、投标文件的组成</w:t>
      </w:r>
    </w:p>
    <w:p>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投标文件应包括但不限于下列内容</w:t>
      </w:r>
      <w:r>
        <w:rPr>
          <w:rFonts w:hint="eastAsia" w:ascii="宋体" w:hAnsi="宋体" w:eastAsia="宋体"/>
          <w:b/>
          <w:color w:val="000000" w:themeColor="text1"/>
          <w:sz w:val="24"/>
          <w:szCs w:val="24"/>
          <w:lang w:eastAsia="zh-CN"/>
          <w14:textFill>
            <w14:solidFill>
              <w14:schemeClr w14:val="tx1"/>
            </w14:solidFill>
          </w14:textFill>
        </w:rPr>
        <w:t>：</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（1）报价函；详见附件，请按要求填报，否则按废标处理。</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（2）授权委托书；</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（3）无重大违法记录声明函、无不良信用记录声明函；</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（4）类似业绩表，附合同及相应证明材料；</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）培训、售后服务方案及承诺；</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6</w:t>
      </w:r>
      <w:r>
        <w:rPr>
          <w:rFonts w:hint="eastAsia" w:ascii="宋体" w:hAnsi="宋体" w:eastAsia="宋体"/>
          <w:color w:val="000000" w:themeColor="text1"/>
          <w:sz w:val="24"/>
          <w:szCs w:val="24"/>
          <w14:textFill>
            <w14:solidFill>
              <w14:schemeClr w14:val="tx1"/>
            </w14:solidFill>
          </w14:textFill>
        </w:rPr>
        <w:t>）优惠条件；</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7</w:t>
      </w:r>
      <w:r>
        <w:rPr>
          <w:rFonts w:hint="eastAsia" w:ascii="宋体" w:hAnsi="宋体" w:eastAsia="宋体"/>
          <w:color w:val="000000" w:themeColor="text1"/>
          <w:sz w:val="24"/>
          <w:szCs w:val="24"/>
          <w14:textFill>
            <w14:solidFill>
              <w14:schemeClr w14:val="tx1"/>
            </w14:solidFill>
          </w14:textFill>
        </w:rPr>
        <w:t>）投标人认为需要说明的其他内容和</w:t>
      </w:r>
      <w:r>
        <w:rPr>
          <w:rFonts w:hint="eastAsia" w:ascii="宋体" w:hAnsi="宋体" w:eastAsia="宋体"/>
          <w:color w:val="000000" w:themeColor="text1"/>
          <w:sz w:val="24"/>
          <w:szCs w:val="24"/>
          <w:lang w:val="en-US" w:eastAsia="zh-CN"/>
          <w14:textFill>
            <w14:solidFill>
              <w14:schemeClr w14:val="tx1"/>
            </w14:solidFill>
          </w14:textFill>
        </w:rPr>
        <w:t>招标</w:t>
      </w:r>
      <w:r>
        <w:rPr>
          <w:rFonts w:hint="eastAsia" w:ascii="宋体" w:hAnsi="宋体" w:eastAsia="宋体"/>
          <w:color w:val="000000" w:themeColor="text1"/>
          <w:sz w:val="24"/>
          <w:szCs w:val="24"/>
          <w14:textFill>
            <w14:solidFill>
              <w14:schemeClr w14:val="tx1"/>
            </w14:solidFill>
          </w14:textFill>
        </w:rPr>
        <w:t>文件要求提供的其他内容。</w:t>
      </w:r>
    </w:p>
    <w:p>
      <w:pPr>
        <w:spacing w:line="360" w:lineRule="auto"/>
        <w:ind w:firstLine="482" w:firstLineChars="200"/>
        <w:rPr>
          <w:rFonts w:ascii="宋体" w:hAnsi="宋体" w:eastAsia="宋体"/>
          <w:b/>
          <w:bCs w:val="0"/>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备注：上述内容，投</w:t>
      </w:r>
      <w:r>
        <w:rPr>
          <w:rFonts w:hint="eastAsia" w:ascii="宋体" w:hAnsi="宋体" w:eastAsia="宋体"/>
          <w:b/>
          <w:bCs w:val="0"/>
          <w:color w:val="000000" w:themeColor="text1"/>
          <w:sz w:val="24"/>
          <w:szCs w:val="24"/>
          <w14:textFill>
            <w14:solidFill>
              <w14:schemeClr w14:val="tx1"/>
            </w14:solidFill>
          </w14:textFill>
        </w:rPr>
        <w:t>标人应按</w:t>
      </w:r>
      <w:r>
        <w:rPr>
          <w:rFonts w:hint="eastAsia" w:ascii="宋体" w:hAnsi="宋体" w:eastAsia="宋体"/>
          <w:b/>
          <w:bCs w:val="0"/>
          <w:color w:val="000000" w:themeColor="text1"/>
          <w:sz w:val="24"/>
          <w:szCs w:val="24"/>
          <w:lang w:val="en-US" w:eastAsia="zh-CN"/>
          <w14:textFill>
            <w14:solidFill>
              <w14:schemeClr w14:val="tx1"/>
            </w14:solidFill>
          </w14:textFill>
        </w:rPr>
        <w:t>招标</w:t>
      </w:r>
      <w:r>
        <w:rPr>
          <w:rFonts w:hint="eastAsia" w:ascii="宋体" w:hAnsi="宋体" w:eastAsia="宋体"/>
          <w:b/>
          <w:bCs w:val="0"/>
          <w:color w:val="000000" w:themeColor="text1"/>
          <w:sz w:val="24"/>
          <w:szCs w:val="24"/>
          <w14:textFill>
            <w14:solidFill>
              <w14:schemeClr w14:val="tx1"/>
            </w14:solidFill>
          </w14:textFill>
        </w:rPr>
        <w:t>文件给定的格式及要求进行编写，</w:t>
      </w:r>
      <w:r>
        <w:rPr>
          <w:rFonts w:hint="eastAsia" w:ascii="宋体" w:hAnsi="宋体" w:eastAsia="宋体"/>
          <w:b/>
          <w:bCs w:val="0"/>
          <w:color w:val="000000" w:themeColor="text1"/>
          <w:sz w:val="24"/>
          <w:szCs w:val="24"/>
          <w:lang w:eastAsia="zh-CN"/>
          <w14:textFill>
            <w14:solidFill>
              <w14:schemeClr w14:val="tx1"/>
            </w14:solidFill>
          </w14:textFill>
        </w:rPr>
        <w:t>招标</w:t>
      </w:r>
      <w:r>
        <w:rPr>
          <w:rFonts w:hint="eastAsia" w:ascii="宋体" w:hAnsi="宋体" w:eastAsia="宋体"/>
          <w:b/>
          <w:bCs w:val="0"/>
          <w:color w:val="000000" w:themeColor="text1"/>
          <w:sz w:val="24"/>
          <w:szCs w:val="24"/>
          <w14:textFill>
            <w14:solidFill>
              <w14:schemeClr w14:val="tx1"/>
            </w14:solidFill>
          </w14:textFill>
        </w:rPr>
        <w:t>文件没提供格式及内容的，由投标人自行确定格式及填写内容，但应包含</w:t>
      </w:r>
      <w:r>
        <w:rPr>
          <w:rFonts w:hint="eastAsia" w:ascii="宋体" w:hAnsi="宋体" w:eastAsia="宋体"/>
          <w:b/>
          <w:bCs w:val="0"/>
          <w:color w:val="000000" w:themeColor="text1"/>
          <w:sz w:val="24"/>
          <w:szCs w:val="24"/>
          <w:lang w:val="en-US" w:eastAsia="zh-CN"/>
          <w14:textFill>
            <w14:solidFill>
              <w14:schemeClr w14:val="tx1"/>
            </w14:solidFill>
          </w14:textFill>
        </w:rPr>
        <w:t>招标</w:t>
      </w:r>
      <w:r>
        <w:rPr>
          <w:rFonts w:hint="eastAsia" w:ascii="宋体" w:hAnsi="宋体" w:eastAsia="宋体"/>
          <w:b/>
          <w:bCs w:val="0"/>
          <w:color w:val="000000" w:themeColor="text1"/>
          <w:sz w:val="24"/>
          <w:szCs w:val="24"/>
          <w14:textFill>
            <w14:solidFill>
              <w14:schemeClr w14:val="tx1"/>
            </w14:solidFill>
          </w14:textFill>
        </w:rPr>
        <w:t>文件要求的相应内容。</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12、投标文件格式</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投标人应按招标文件中提供的投标文件格式填写投标函、</w:t>
      </w:r>
      <w:r>
        <w:rPr>
          <w:rFonts w:hint="eastAsia" w:ascii="宋体" w:hAnsi="宋体" w:eastAsia="宋体"/>
          <w:color w:val="000000" w:themeColor="text1"/>
          <w:spacing w:val="20"/>
          <w:sz w:val="24"/>
          <w:szCs w:val="24"/>
          <w14:textFill>
            <w14:solidFill>
              <w14:schemeClr w14:val="tx1"/>
            </w14:solidFill>
          </w14:textFill>
        </w:rPr>
        <w:t>法定代表人</w:t>
      </w:r>
      <w:r>
        <w:rPr>
          <w:rFonts w:hint="eastAsia" w:ascii="宋体" w:hAnsi="宋体" w:eastAsia="宋体"/>
          <w:color w:val="000000" w:themeColor="text1"/>
          <w:sz w:val="24"/>
          <w:szCs w:val="24"/>
          <w14:textFill>
            <w14:solidFill>
              <w14:schemeClr w14:val="tx1"/>
            </w14:solidFill>
          </w14:textFill>
        </w:rPr>
        <w:t>授权委托书、分项报价表等，注明提供的货物名称、货物简介、原产地、数量和价格等。招标文件中没有提供投标文件格式的，由投标人自行确定格式，并按上述12条规定的内容进行编制、递交投标文件，否则后果自负。</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12.2投标人必须对招标内容中所述相应包的所有</w:t>
      </w:r>
      <w:r>
        <w:rPr>
          <w:rFonts w:hint="eastAsia" w:ascii="宋体" w:hAnsi="宋体" w:eastAsia="宋体"/>
          <w:color w:val="000000" w:themeColor="text1"/>
          <w:sz w:val="24"/>
          <w:szCs w:val="24"/>
          <w:lang w:val="en-US" w:eastAsia="zh-CN"/>
          <w14:textFill>
            <w14:solidFill>
              <w14:schemeClr w14:val="tx1"/>
            </w14:solidFill>
          </w14:textFill>
        </w:rPr>
        <w:t>内容</w:t>
      </w:r>
      <w:r>
        <w:rPr>
          <w:rFonts w:hint="eastAsia" w:ascii="宋体" w:hAnsi="宋体" w:eastAsia="宋体"/>
          <w:color w:val="000000" w:themeColor="text1"/>
          <w:sz w:val="24"/>
          <w:szCs w:val="24"/>
          <w14:textFill>
            <w14:solidFill>
              <w14:schemeClr w14:val="tx1"/>
            </w14:solidFill>
          </w14:textFill>
        </w:rPr>
        <w:t>进行投标。（标书一正</w:t>
      </w:r>
      <w:r>
        <w:rPr>
          <w:rFonts w:hint="eastAsia" w:ascii="宋体" w:hAnsi="宋体" w:eastAsia="宋体"/>
          <w:color w:val="000000" w:themeColor="text1"/>
          <w:sz w:val="24"/>
          <w:szCs w:val="24"/>
          <w:lang w:val="en-US" w:eastAsia="zh-CN"/>
          <w14:textFill>
            <w14:solidFill>
              <w14:schemeClr w14:val="tx1"/>
            </w14:solidFill>
          </w14:textFill>
        </w:rPr>
        <w:t>一</w:t>
      </w:r>
      <w:r>
        <w:rPr>
          <w:rFonts w:hint="eastAsia" w:ascii="宋体" w:hAnsi="宋体" w:eastAsia="宋体"/>
          <w:color w:val="000000" w:themeColor="text1"/>
          <w:sz w:val="24"/>
          <w:szCs w:val="24"/>
          <w14:textFill>
            <w14:solidFill>
              <w14:schemeClr w14:val="tx1"/>
            </w14:solidFill>
          </w14:textFill>
        </w:rPr>
        <w:t>副，不含价格）</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13、报价依据</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投标人在满足招标文件要求的条件下，依据招标人提供的相关资料以及投标人自身实力，报出招标全部内容的投标总报价和单价。（报价函单独密封，盖章）</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14、投标报价</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14.1投标人所报的价格应为实现招标要求全部功能的所有费用，所报的总价和分项价格均包括但不</w:t>
      </w:r>
      <w:r>
        <w:rPr>
          <w:rFonts w:hint="eastAsia" w:ascii="宋体" w:hAnsi="宋体" w:eastAsia="宋体"/>
          <w:color w:val="000000" w:themeColor="text1"/>
          <w:sz w:val="24"/>
          <w:szCs w:val="24"/>
          <w:lang w:eastAsia="zh-CN"/>
          <w14:textFill>
            <w14:solidFill>
              <w14:schemeClr w14:val="tx1"/>
            </w14:solidFill>
          </w14:textFill>
        </w:rPr>
        <w:t>限于</w:t>
      </w:r>
      <w:r>
        <w:rPr>
          <w:rFonts w:hint="eastAsia" w:ascii="宋体" w:hAnsi="宋体" w:eastAsia="宋体"/>
          <w:color w:val="000000" w:themeColor="text1"/>
          <w:sz w:val="24"/>
          <w:szCs w:val="24"/>
          <w14:textFill>
            <w14:solidFill>
              <w14:schemeClr w14:val="tx1"/>
            </w14:solidFill>
          </w14:textFill>
        </w:rPr>
        <w:t>合同实施过程中的不可预见费用等所有一切费用。投标报价中的单价为含上述内容的全费用综合单价，综合单价为包干价。</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14.2投标人应提供详细的报价清单，投标人应充分考虑项目实施所有费用，所有费用均应明确标明，投标人对于免费提供的服务和产品也应明确标明免费，甲方在项目实施中不再另行支付其他费用。</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14.3投标人应依照投标文件格式进行填报，并可根据具体情况进行补充，但报价项目名称需明确列出。投标人投标报价如出现错报、漏报等情况时，按对投标人最不利的原则进行认定，由此产生的一切后果由投标人自行承担，且该投标人无权提出任何异议。</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14.4投标人充分了解本项目的情况，熟悉招标文件，正确估计服务工作的难易程度和必须投入技术力量，根据项目实际情况、招标内容和本单位实力，结合市场行情确定本项目的投标报价。投标所报的相应分项价格，在项目实施期间不因任何因素而调整。</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14.5优惠条件是指在满足招标文件要求的前提下，投标人在功能配置、付款条件、供货周期、质保期、售后服务及备品备件等方面提供的优惠承诺（免费）。招标人不要求投标人采用总价优惠或以总价百分比优惠的方式进行投标报价，其优惠应直接体现在各项投标报价的单价中。</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14.6投标人应在投标分项报价表中</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写明拟提供货物的单价和总价。投标文件报价出现前后不一致的，除招标文件另有规定外，按照下列规定修正：</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14.6.1投标文件中开标一览表内容与投标文件分项报价表中相应内容不一致的，以开标一览表为准；</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14.6.2大写金额和小写金额不一致的，以大写金额为准；</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14.6.3单价金额小数点或者百分比有明显错位的，以开标一览表的总价为准，并修改单价；</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14.6.4总价金额与按单价汇总金额不一致的，以单价金额计算结果为准。</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14.6.5同时出现两种以上不一致的，按照前款规定的顺序修正。修正后的报价按照规定经投标人确认后产生约束力，投标人不确认的，其投标无效。</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14.7除非另有规定， 招标人只接受投标人一个方案和投标人一种报价的投标，投标人多方案、多报价的投标文件将不被接受。投标人在分项报价表中所报相关价格在合同履约期间不得以任何理由予以提价。</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14.8如投标人的投标总报价严重背离实际情况</w:t>
      </w:r>
      <w:r>
        <w:rPr>
          <w:rFonts w:hint="eastAsia" w:ascii="宋体" w:hAnsi="宋体" w:eastAsia="宋体"/>
          <w:color w:val="000000" w:themeColor="text1"/>
          <w:sz w:val="24"/>
          <w:szCs w:val="24"/>
          <w:lang w:val="en-US" w:eastAsia="zh-CN"/>
          <w14:textFill>
            <w14:solidFill>
              <w14:schemeClr w14:val="tx1"/>
            </w14:solidFill>
          </w14:textFill>
        </w:rPr>
        <w:t>有明显扰乱市场行为</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或</w:t>
      </w:r>
      <w:r>
        <w:rPr>
          <w:rFonts w:hint="eastAsia" w:ascii="宋体" w:hAnsi="宋体" w:eastAsia="宋体"/>
          <w:color w:val="000000" w:themeColor="text1"/>
          <w:sz w:val="24"/>
          <w:szCs w:val="24"/>
          <w14:textFill>
            <w14:solidFill>
              <w14:schemeClr w14:val="tx1"/>
            </w14:solidFill>
          </w14:textFill>
        </w:rPr>
        <w:t>超过招标人的预算价，招标人有权不选择任何投标人作为中标候选人，招标人将依据相关规定重新组织采购，招标人不负任何责任。</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15、投标文件份数及签署规定</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15</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 xml:space="preserve"> 投标人应按照投标须知前附表的要求准备投标文件，并在封面上注明“正本”和“副本”字样。投标文件的正本与副本如有不一致之处，以正本为准。</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15</w:t>
      </w: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 xml:space="preserve"> 投标文件的正本需打印，并按</w:t>
      </w:r>
      <w:r>
        <w:rPr>
          <w:rFonts w:hint="eastAsia" w:ascii="宋体" w:hAnsi="宋体" w:eastAsia="宋体"/>
          <w:color w:val="000000" w:themeColor="text1"/>
          <w:sz w:val="24"/>
          <w:szCs w:val="24"/>
          <w:lang w:val="en-US" w:eastAsia="zh-CN"/>
          <w14:textFill>
            <w14:solidFill>
              <w14:schemeClr w14:val="tx1"/>
            </w14:solidFill>
          </w14:textFill>
        </w:rPr>
        <w:t>招标</w:t>
      </w:r>
      <w:r>
        <w:rPr>
          <w:rFonts w:hint="eastAsia" w:ascii="宋体" w:hAnsi="宋体" w:eastAsia="宋体"/>
          <w:color w:val="000000" w:themeColor="text1"/>
          <w:sz w:val="24"/>
          <w:szCs w:val="24"/>
          <w14:textFill>
            <w14:solidFill>
              <w14:schemeClr w14:val="tx1"/>
            </w14:solidFill>
          </w14:textFill>
        </w:rPr>
        <w:t>文件要求签字、盖章，副本可为正本的复印件。</w:t>
      </w:r>
    </w:p>
    <w:p>
      <w:pPr>
        <w:spacing w:line="360" w:lineRule="auto"/>
        <w:ind w:firstLine="480"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15.3  投标文件的任何一页均不得涂改、行间插字或删除。如出现上述情况，不论何种原因造成的，均须由投标人在改动处加盖公章或投标文件签字人签字或盖章。</w:t>
      </w:r>
    </w:p>
    <w:p>
      <w:pPr>
        <w:jc w:val="center"/>
        <w:rPr>
          <w:rFonts w:hint="eastAsia" w:ascii="宋体" w:hAnsi="宋体" w:eastAsia="宋体"/>
          <w:b/>
          <w:bCs/>
          <w:color w:val="000000" w:themeColor="text1"/>
          <w:sz w:val="30"/>
          <w14:textFill>
            <w14:solidFill>
              <w14:schemeClr w14:val="tx1"/>
            </w14:solidFill>
          </w14:textFill>
        </w:rPr>
      </w:pPr>
      <w:r>
        <w:rPr>
          <w:rFonts w:hint="eastAsia" w:ascii="宋体" w:hAnsi="宋体" w:eastAsia="宋体"/>
          <w:b/>
          <w:bCs/>
          <w:color w:val="000000" w:themeColor="text1"/>
          <w:sz w:val="30"/>
          <w14:textFill>
            <w14:solidFill>
              <w14:schemeClr w14:val="tx1"/>
            </w14:solidFill>
          </w14:textFill>
        </w:rPr>
        <w:br w:type="page"/>
      </w:r>
    </w:p>
    <w:p>
      <w:pPr>
        <w:jc w:val="center"/>
        <w:rPr>
          <w:rFonts w:ascii="宋体" w:hAnsi="宋体" w:eastAsia="宋体"/>
          <w:b/>
          <w:bCs/>
          <w:color w:val="000000" w:themeColor="text1"/>
          <w:sz w:val="30"/>
          <w14:textFill>
            <w14:solidFill>
              <w14:schemeClr w14:val="tx1"/>
            </w14:solidFill>
          </w14:textFill>
        </w:rPr>
      </w:pPr>
      <w:r>
        <w:rPr>
          <w:rFonts w:hint="eastAsia" w:ascii="宋体" w:hAnsi="宋体" w:eastAsia="宋体"/>
          <w:b/>
          <w:bCs/>
          <w:color w:val="000000" w:themeColor="text1"/>
          <w:sz w:val="30"/>
          <w14:textFill>
            <w14:solidFill>
              <w14:schemeClr w14:val="tx1"/>
            </w14:solidFill>
          </w14:textFill>
        </w:rPr>
        <w:t>四、 投标文件的递交</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16、投标文件的密封和标记</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16.1投标人应将投标文件装订</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16.2标书封面上都应注明：招标人名称、项目名称、投标人名称、项目编号、</w:t>
      </w:r>
      <w:r>
        <w:rPr>
          <w:rFonts w:hint="eastAsia" w:ascii="宋体" w:hAnsi="宋体" w:eastAsia="宋体"/>
          <w:color w:val="000000" w:themeColor="text1"/>
          <w:sz w:val="24"/>
          <w:lang w:val="en-US" w:eastAsia="zh-CN"/>
          <w14:textFill>
            <w14:solidFill>
              <w14:schemeClr w14:val="tx1"/>
            </w14:solidFill>
          </w14:textFill>
        </w:rPr>
        <w:t>日期</w:t>
      </w:r>
      <w:r>
        <w:rPr>
          <w:rFonts w:hint="eastAsia" w:ascii="宋体" w:hAnsi="宋体" w:eastAsia="宋体"/>
          <w:color w:val="000000" w:themeColor="text1"/>
          <w:sz w:val="24"/>
          <w14:textFill>
            <w14:solidFill>
              <w14:schemeClr w14:val="tx1"/>
            </w14:solidFill>
          </w14:textFill>
        </w:rPr>
        <w:t>需要密封。未密封盖章</w:t>
      </w:r>
      <w:r>
        <w:rPr>
          <w:rFonts w:hint="eastAsia" w:ascii="宋体" w:hAnsi="宋体" w:eastAsia="宋体"/>
          <w:color w:val="000000" w:themeColor="text1"/>
          <w:sz w:val="24"/>
          <w:lang w:val="en-US" w:eastAsia="zh-CN"/>
          <w14:textFill>
            <w14:solidFill>
              <w14:schemeClr w14:val="tx1"/>
            </w14:solidFill>
          </w14:textFill>
        </w:rPr>
        <w:t>的投标文件</w:t>
      </w:r>
      <w:r>
        <w:rPr>
          <w:rFonts w:hint="eastAsia" w:ascii="宋体" w:hAnsi="宋体" w:eastAsia="宋体"/>
          <w:color w:val="000000" w:themeColor="text1"/>
          <w:sz w:val="24"/>
          <w14:textFill>
            <w14:solidFill>
              <w14:schemeClr w14:val="tx1"/>
            </w14:solidFill>
          </w14:textFill>
        </w:rPr>
        <w:t>将不予接受。</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17、投标文件的递交</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17.1投标人应当在招标文件规定的投标截止时间前，将投标文件送达投标须知前附表指定开标地点。</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17.2在投标截止时间之后送达的投标文件，招标人将拒绝接收。</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18、投标文件的修改、撤回和撤销</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18</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1 投标人在递交投标文件后，可以修改或撤回其投标，但这种修改和撤回，必须在规定的投标截止时间前，并以书面形式通知招标人。在投标截止时间后，投标人不得再要求修改或撤回其投标文件。</w:t>
      </w:r>
    </w:p>
    <w:p>
      <w:pPr>
        <w:jc w:val="left"/>
        <w:rPr>
          <w:color w:val="000000" w:themeColor="text1"/>
          <w:sz w:val="24"/>
          <w:szCs w:val="24"/>
          <w14:textFill>
            <w14:solidFill>
              <w14:schemeClr w14:val="tx1"/>
            </w14:solidFill>
          </w14:textFill>
        </w:rPr>
      </w:pPr>
    </w:p>
    <w:p>
      <w:pPr>
        <w:jc w:val="center"/>
        <w:rPr>
          <w:rFonts w:hint="eastAsia" w:ascii="宋体" w:hAnsi="宋体" w:eastAsia="宋体"/>
          <w:b/>
          <w:bCs/>
          <w:color w:val="000000" w:themeColor="text1"/>
          <w:sz w:val="30"/>
          <w14:textFill>
            <w14:solidFill>
              <w14:schemeClr w14:val="tx1"/>
            </w14:solidFill>
          </w14:textFill>
        </w:rPr>
      </w:pPr>
      <w:r>
        <w:rPr>
          <w:rFonts w:hint="eastAsia" w:ascii="宋体" w:hAnsi="宋体" w:eastAsia="宋体"/>
          <w:b/>
          <w:bCs/>
          <w:color w:val="000000" w:themeColor="text1"/>
          <w:sz w:val="30"/>
          <w14:textFill>
            <w14:solidFill>
              <w14:schemeClr w14:val="tx1"/>
            </w14:solidFill>
          </w14:textFill>
        </w:rPr>
        <w:br w:type="page"/>
      </w:r>
    </w:p>
    <w:p>
      <w:pPr>
        <w:jc w:val="center"/>
        <w:rPr>
          <w:rFonts w:ascii="宋体" w:hAnsi="宋体" w:eastAsia="宋体"/>
          <w:b/>
          <w:bCs/>
          <w:color w:val="000000" w:themeColor="text1"/>
          <w:sz w:val="30"/>
          <w14:textFill>
            <w14:solidFill>
              <w14:schemeClr w14:val="tx1"/>
            </w14:solidFill>
          </w14:textFill>
        </w:rPr>
      </w:pPr>
      <w:r>
        <w:rPr>
          <w:rFonts w:hint="eastAsia" w:ascii="宋体" w:hAnsi="宋体" w:eastAsia="宋体"/>
          <w:b/>
          <w:bCs/>
          <w:color w:val="000000" w:themeColor="text1"/>
          <w:sz w:val="30"/>
          <w14:textFill>
            <w14:solidFill>
              <w14:schemeClr w14:val="tx1"/>
            </w14:solidFill>
          </w14:textFill>
        </w:rPr>
        <w:t>五、开标、评标、定标</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19、开标</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19.1  开标时间、地点按前附表规定执行。</w:t>
      </w:r>
    </w:p>
    <w:p>
      <w:pPr>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19.2  开标时投标人法定代表人或委托代理人不邀请参加会议（特殊情况除外或招标文件另有约定）</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20、评标、定标</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20.1在宣布中标人之前，凡属于投标文件的审查、澄清、评价和比较及有关授予合同的信息，都不得向外泄露。</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20.2评审委员会对投标文件进行审查、澄清、评估和比较。</w:t>
      </w:r>
    </w:p>
    <w:p>
      <w:pPr>
        <w:spacing w:line="360" w:lineRule="auto"/>
        <w:ind w:left="271" w:leftChars="129" w:firstLine="120" w:firstLineChars="5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20.3评标将分阶段进行</w:t>
      </w:r>
      <w:r>
        <w:rPr>
          <w:rFonts w:hint="eastAsia" w:ascii="宋体" w:hAnsi="宋体" w:eastAsia="宋体"/>
          <w:color w:val="000000" w:themeColor="text1"/>
          <w:sz w:val="24"/>
          <w:lang w:eastAsia="zh-CN"/>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（1）资格审查；（2）初步审查；（3）详细评估和比较；（4）推荐中标候选人。</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21、投标被否决的情形</w:t>
      </w:r>
    </w:p>
    <w:p>
      <w:pPr>
        <w:spacing w:line="360" w:lineRule="auto"/>
        <w:ind w:firstLine="480" w:firstLineChars="2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有下列情况之一的投标将被否决：</w:t>
      </w:r>
    </w:p>
    <w:p>
      <w:pPr>
        <w:numPr>
          <w:ilvl w:val="2"/>
          <w:numId w:val="5"/>
        </w:numPr>
        <w:tabs>
          <w:tab w:val="left" w:pos="1260"/>
          <w:tab w:val="clear" w:pos="1442"/>
        </w:tabs>
        <w:spacing w:line="360" w:lineRule="auto"/>
        <w:ind w:left="126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未按本</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bCs/>
          <w:color w:val="000000" w:themeColor="text1"/>
          <w:sz w:val="24"/>
          <w14:textFill>
            <w14:solidFill>
              <w14:schemeClr w14:val="tx1"/>
            </w14:solidFill>
          </w14:textFill>
        </w:rPr>
        <w:t>文件要求进行报价的或投标文件中有两个及以上报价且未明确以哪个报价为准的；</w:t>
      </w:r>
    </w:p>
    <w:p>
      <w:pPr>
        <w:numPr>
          <w:ilvl w:val="2"/>
          <w:numId w:val="5"/>
        </w:numPr>
        <w:tabs>
          <w:tab w:val="left" w:pos="1260"/>
          <w:tab w:val="clear" w:pos="1442"/>
        </w:tabs>
        <w:spacing w:line="360" w:lineRule="auto"/>
        <w:ind w:left="126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未按照招标文件要求签字、盖章的；</w:t>
      </w:r>
    </w:p>
    <w:p>
      <w:pPr>
        <w:numPr>
          <w:ilvl w:val="2"/>
          <w:numId w:val="5"/>
        </w:numPr>
        <w:tabs>
          <w:tab w:val="left" w:pos="1260"/>
          <w:tab w:val="clear" w:pos="1442"/>
        </w:tabs>
        <w:spacing w:line="360" w:lineRule="auto"/>
        <w:ind w:left="126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资格审查不满足招标要求的；</w:t>
      </w:r>
    </w:p>
    <w:p>
      <w:pPr>
        <w:numPr>
          <w:ilvl w:val="2"/>
          <w:numId w:val="5"/>
        </w:numPr>
        <w:tabs>
          <w:tab w:val="left" w:pos="1260"/>
          <w:tab w:val="clear" w:pos="1442"/>
        </w:tabs>
        <w:spacing w:line="360" w:lineRule="auto"/>
        <w:ind w:left="126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投标文件字迹潦草、模糊致使实质性内容无法辨认的；</w:t>
      </w:r>
    </w:p>
    <w:p>
      <w:pPr>
        <w:numPr>
          <w:ilvl w:val="2"/>
          <w:numId w:val="5"/>
        </w:numPr>
        <w:tabs>
          <w:tab w:val="left" w:pos="1260"/>
          <w:tab w:val="clear" w:pos="1442"/>
        </w:tabs>
        <w:spacing w:line="360" w:lineRule="auto"/>
        <w:ind w:left="126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投标有效期不足的；</w:t>
      </w:r>
    </w:p>
    <w:p>
      <w:pPr>
        <w:numPr>
          <w:ilvl w:val="2"/>
          <w:numId w:val="5"/>
        </w:numPr>
        <w:tabs>
          <w:tab w:val="left" w:pos="1260"/>
          <w:tab w:val="clear" w:pos="1442"/>
        </w:tabs>
        <w:spacing w:line="360" w:lineRule="auto"/>
        <w:ind w:left="126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质保期（免费售后服务期）不满足</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bCs/>
          <w:color w:val="000000" w:themeColor="text1"/>
          <w:sz w:val="24"/>
          <w14:textFill>
            <w14:solidFill>
              <w14:schemeClr w14:val="tx1"/>
            </w14:solidFill>
          </w14:textFill>
        </w:rPr>
        <w:t>要求的；</w:t>
      </w:r>
    </w:p>
    <w:p>
      <w:pPr>
        <w:numPr>
          <w:ilvl w:val="2"/>
          <w:numId w:val="5"/>
        </w:numPr>
        <w:tabs>
          <w:tab w:val="left" w:pos="1260"/>
          <w:tab w:val="clear" w:pos="1442"/>
        </w:tabs>
        <w:spacing w:line="360" w:lineRule="auto"/>
        <w:ind w:left="126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交货期不满足招标要求的；</w:t>
      </w:r>
    </w:p>
    <w:p>
      <w:pPr>
        <w:numPr>
          <w:ilvl w:val="2"/>
          <w:numId w:val="5"/>
        </w:numPr>
        <w:tabs>
          <w:tab w:val="left" w:pos="1260"/>
          <w:tab w:val="clear" w:pos="1442"/>
        </w:tabs>
        <w:spacing w:line="360" w:lineRule="auto"/>
        <w:ind w:left="126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经评审认定，其他未实质性响应</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bCs/>
          <w:color w:val="000000" w:themeColor="text1"/>
          <w:sz w:val="24"/>
          <w14:textFill>
            <w14:solidFill>
              <w14:schemeClr w14:val="tx1"/>
            </w14:solidFill>
          </w14:textFill>
        </w:rPr>
        <w:t>文件要求的；</w:t>
      </w:r>
    </w:p>
    <w:p>
      <w:pPr>
        <w:numPr>
          <w:ilvl w:val="2"/>
          <w:numId w:val="5"/>
        </w:numPr>
        <w:tabs>
          <w:tab w:val="left" w:pos="1260"/>
          <w:tab w:val="clear" w:pos="1442"/>
        </w:tabs>
        <w:spacing w:line="360" w:lineRule="auto"/>
        <w:ind w:left="126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lang w:eastAsia="zh-CN"/>
          <w14:textFill>
            <w14:solidFill>
              <w14:schemeClr w14:val="tx1"/>
            </w14:solidFill>
          </w14:textFill>
        </w:rPr>
        <w:t>法律法规</w:t>
      </w:r>
      <w:r>
        <w:rPr>
          <w:rFonts w:hint="eastAsia" w:ascii="宋体" w:hAnsi="宋体" w:eastAsia="宋体"/>
          <w:bCs/>
          <w:color w:val="000000" w:themeColor="text1"/>
          <w:sz w:val="24"/>
          <w14:textFill>
            <w14:solidFill>
              <w14:schemeClr w14:val="tx1"/>
            </w14:solidFill>
          </w14:textFill>
        </w:rPr>
        <w:t>和规章及</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bCs/>
          <w:color w:val="000000" w:themeColor="text1"/>
          <w:sz w:val="24"/>
          <w14:textFill>
            <w14:solidFill>
              <w14:schemeClr w14:val="tx1"/>
            </w14:solidFill>
          </w14:textFill>
        </w:rPr>
        <w:t>文件规定的其他情形的。</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22、投标文件澄清及否决所有投标</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22.1</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如评委会认为所有投标文件均未能对</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olor w:val="000000" w:themeColor="text1"/>
          <w:sz w:val="24"/>
          <w14:textFill>
            <w14:solidFill>
              <w14:schemeClr w14:val="tx1"/>
            </w14:solidFill>
          </w14:textFill>
        </w:rPr>
        <w:t>文件</w:t>
      </w:r>
      <w:r>
        <w:rPr>
          <w:rFonts w:hint="eastAsia" w:ascii="宋体" w:hAnsi="宋体" w:eastAsia="宋体"/>
          <w:color w:val="000000" w:themeColor="text1"/>
          <w:sz w:val="24"/>
          <w:lang w:eastAsia="zh-CN"/>
          <w14:textFill>
            <w14:solidFill>
              <w14:schemeClr w14:val="tx1"/>
            </w14:solidFill>
          </w14:textFill>
        </w:rPr>
        <w:t>作出</w:t>
      </w:r>
      <w:r>
        <w:rPr>
          <w:rFonts w:hint="eastAsia" w:ascii="宋体" w:hAnsi="宋体" w:eastAsia="宋体"/>
          <w:color w:val="000000" w:themeColor="text1"/>
          <w:sz w:val="24"/>
          <w14:textFill>
            <w14:solidFill>
              <w14:schemeClr w14:val="tx1"/>
            </w14:solidFill>
          </w14:textFill>
        </w:rPr>
        <w:t>实质性响应，或其他异常情况发生，或所有投标价格均较为异常，评审委员会有权否决所有的投标。</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22.2至投标截止时间递交投标文件的投标人数量少于三个的或因在评标中否决了所有投标的，招标人有权现场转变项目采购方式（如谈判、磋商、单一来源等，具体采购方式及原则在评标现场确定）确定供货服务单位或重新组织招标活动。</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 xml:space="preserve">23、定标  </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23.1评审委员会根据评审情况编写评标报告，对各投标人的评审情况向招标人推荐不超过3名投标人为中标候选人；</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23.2招标人从评审委员会推荐的中标候选人中确定中标人；</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23.3招标人不保证最低报价的投标最终一定中标。</w:t>
      </w:r>
    </w:p>
    <w:p>
      <w:pPr>
        <w:spacing w:line="240" w:lineRule="auto"/>
        <w:jc w:val="center"/>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br w:type="page"/>
      </w:r>
    </w:p>
    <w:p>
      <w:pPr>
        <w:numPr>
          <w:ilvl w:val="0"/>
          <w:numId w:val="3"/>
        </w:numPr>
        <w:jc w:val="center"/>
        <w:rPr>
          <w:rFonts w:hint="eastAsia" w:ascii="宋体" w:hAnsi="宋体" w:eastAsia="宋体"/>
          <w:b/>
          <w:bCs/>
          <w:color w:val="000000" w:themeColor="text1"/>
          <w:sz w:val="36"/>
          <w:lang w:val="en-US" w:eastAsia="zh-CN"/>
          <w14:textFill>
            <w14:solidFill>
              <w14:schemeClr w14:val="tx1"/>
            </w14:solidFill>
          </w14:textFill>
        </w:rPr>
      </w:pPr>
      <w:r>
        <w:rPr>
          <w:rFonts w:hint="eastAsia" w:ascii="宋体" w:hAnsi="宋体" w:eastAsia="宋体"/>
          <w:b/>
          <w:bCs/>
          <w:color w:val="000000" w:themeColor="text1"/>
          <w:sz w:val="36"/>
          <w:lang w:val="en-US" w:eastAsia="zh-CN"/>
          <w14:textFill>
            <w14:solidFill>
              <w14:schemeClr w14:val="tx1"/>
            </w14:solidFill>
          </w14:textFill>
        </w:rPr>
        <w:t>评 标 办 法</w:t>
      </w:r>
    </w:p>
    <w:p>
      <w:pPr>
        <w:pStyle w:val="7"/>
        <w:numPr>
          <w:ilvl w:val="2"/>
          <w:numId w:val="0"/>
        </w:numPr>
        <w:tabs>
          <w:tab w:val="clear" w:pos="720"/>
        </w:tabs>
        <w:ind w:leftChars="0"/>
        <w:rPr>
          <w:rFonts w:hint="eastAsia"/>
          <w:lang w:val="en-US" w:eastAsia="zh-CN"/>
        </w:rPr>
      </w:pP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1、评标基本原则</w:t>
      </w:r>
    </w:p>
    <w:p>
      <w:pPr>
        <w:numPr>
          <w:ilvl w:val="0"/>
          <w:numId w:val="6"/>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评审委员会由本单位招标领导小组成员组成；</w:t>
      </w:r>
    </w:p>
    <w:p>
      <w:pPr>
        <w:numPr>
          <w:ilvl w:val="0"/>
          <w:numId w:val="6"/>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评审委员会负责评标工作。评审委员会将全面、客观、充分地审阅所有投标人的投标文件，公正、科学地进行评标；</w:t>
      </w:r>
    </w:p>
    <w:p>
      <w:pPr>
        <w:numPr>
          <w:ilvl w:val="0"/>
          <w:numId w:val="6"/>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对被确认没有对</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s="Arial"/>
          <w:color w:val="000000" w:themeColor="text1"/>
          <w:sz w:val="24"/>
          <w:szCs w:val="24"/>
          <w14:textFill>
            <w14:solidFill>
              <w14:schemeClr w14:val="tx1"/>
            </w14:solidFill>
          </w14:textFill>
        </w:rPr>
        <w:t>文件</w:t>
      </w:r>
      <w:r>
        <w:rPr>
          <w:rFonts w:hint="eastAsia" w:ascii="宋体" w:hAnsi="宋体" w:eastAsia="宋体" w:cs="Arial"/>
          <w:color w:val="000000" w:themeColor="text1"/>
          <w:sz w:val="24"/>
          <w:szCs w:val="24"/>
          <w:lang w:eastAsia="zh-CN"/>
          <w14:textFill>
            <w14:solidFill>
              <w14:schemeClr w14:val="tx1"/>
            </w14:solidFill>
          </w14:textFill>
        </w:rPr>
        <w:t>作出</w:t>
      </w:r>
      <w:r>
        <w:rPr>
          <w:rFonts w:hint="eastAsia" w:ascii="宋体" w:hAnsi="宋体" w:eastAsia="宋体" w:cs="Arial"/>
          <w:color w:val="000000" w:themeColor="text1"/>
          <w:sz w:val="24"/>
          <w:szCs w:val="24"/>
          <w14:textFill>
            <w14:solidFill>
              <w14:schemeClr w14:val="tx1"/>
            </w14:solidFill>
          </w14:textFill>
        </w:rPr>
        <w:t>实质性响应的投标，投标人不得再更改或撤销其重大偏离而使其投标成为实质性响应的投标；</w:t>
      </w:r>
    </w:p>
    <w:p>
      <w:pPr>
        <w:numPr>
          <w:ilvl w:val="0"/>
          <w:numId w:val="6"/>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开标后直到签订经济合同期间，有关评标过程中的情况，不得向投标人</w:t>
      </w:r>
      <w:r>
        <w:rPr>
          <w:rFonts w:hint="eastAsia" w:ascii="宋体" w:hAnsi="宋体" w:eastAsia="宋体" w:cs="Arial"/>
          <w:color w:val="000000" w:themeColor="text1"/>
          <w:sz w:val="24"/>
          <w:szCs w:val="24"/>
          <w:lang w:eastAsia="zh-CN"/>
          <w14:textFill>
            <w14:solidFill>
              <w14:schemeClr w14:val="tx1"/>
            </w14:solidFill>
          </w14:textFill>
        </w:rPr>
        <w:t>或其他</w:t>
      </w:r>
      <w:r>
        <w:rPr>
          <w:rFonts w:hint="eastAsia" w:ascii="宋体" w:hAnsi="宋体" w:eastAsia="宋体" w:cs="Arial"/>
          <w:color w:val="000000" w:themeColor="text1"/>
          <w:sz w:val="24"/>
          <w:szCs w:val="24"/>
          <w14:textFill>
            <w14:solidFill>
              <w14:schemeClr w14:val="tx1"/>
            </w14:solidFill>
          </w14:textFill>
        </w:rPr>
        <w:t>无关人员透露；</w:t>
      </w:r>
    </w:p>
    <w:p>
      <w:pPr>
        <w:numPr>
          <w:ilvl w:val="0"/>
          <w:numId w:val="6"/>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在评标过程中，投标人不得试图对评标工作施加任何影响，否则其投标将被否决；</w:t>
      </w:r>
    </w:p>
    <w:p>
      <w:pPr>
        <w:numPr>
          <w:ilvl w:val="0"/>
          <w:numId w:val="6"/>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评标过程中，评委会有权要求投标人对投标文件进行解释、澄清。对澄清和确认的问题，应形成书面材料，经投标人的法定代表人或其委托代理人签字（或盖章）后作为投标文件的组成部分；</w:t>
      </w:r>
    </w:p>
    <w:p>
      <w:pPr>
        <w:numPr>
          <w:ilvl w:val="0"/>
          <w:numId w:val="6"/>
        </w:numPr>
        <w:spacing w:before="25" w:line="360" w:lineRule="auto"/>
        <w:rPr>
          <w:rFonts w:ascii="宋体" w:hAnsi="宋体" w:eastAsia="宋体" w:cs="Arial"/>
          <w:b w:val="0"/>
          <w:bCs w:val="0"/>
          <w:color w:val="000000" w:themeColor="text1"/>
          <w:sz w:val="24"/>
          <w:szCs w:val="24"/>
          <w14:textFill>
            <w14:solidFill>
              <w14:schemeClr w14:val="tx1"/>
            </w14:solidFill>
          </w14:textFill>
        </w:rPr>
      </w:pPr>
      <w:r>
        <w:rPr>
          <w:rFonts w:hint="eastAsia" w:ascii="宋体" w:hAnsi="宋体" w:eastAsia="宋体" w:cs="Arial"/>
          <w:b w:val="0"/>
          <w:bCs w:val="0"/>
          <w:color w:val="000000" w:themeColor="text1"/>
          <w:sz w:val="24"/>
          <w:szCs w:val="24"/>
          <w14:textFill>
            <w14:solidFill>
              <w14:schemeClr w14:val="tx1"/>
            </w14:solidFill>
          </w14:textFill>
        </w:rPr>
        <w:t>本招标项目</w:t>
      </w:r>
      <w:r>
        <w:rPr>
          <w:rFonts w:hint="eastAsia" w:ascii="宋体" w:hAnsi="宋体" w:eastAsia="宋体" w:cs="Arial"/>
          <w:b w:val="0"/>
          <w:bCs w:val="0"/>
          <w:color w:val="000000" w:themeColor="text1"/>
          <w:sz w:val="24"/>
          <w:szCs w:val="24"/>
          <w:lang w:val="en-US" w:eastAsia="zh-CN"/>
          <w14:textFill>
            <w14:solidFill>
              <w14:schemeClr w14:val="tx1"/>
            </w14:solidFill>
          </w14:textFill>
        </w:rPr>
        <w:t>会</w:t>
      </w:r>
      <w:r>
        <w:rPr>
          <w:rFonts w:hint="eastAsia" w:ascii="宋体" w:hAnsi="宋体" w:eastAsia="宋体" w:cs="Arial"/>
          <w:b w:val="0"/>
          <w:bCs w:val="0"/>
          <w:color w:val="000000" w:themeColor="text1"/>
          <w:sz w:val="24"/>
          <w:szCs w:val="24"/>
          <w14:textFill>
            <w14:solidFill>
              <w14:schemeClr w14:val="tx1"/>
            </w14:solidFill>
          </w14:textFill>
        </w:rPr>
        <w:t>对通过资格审查和初步评审的投标人分别进行综合详细评审。</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2、资格审查</w:t>
      </w:r>
    </w:p>
    <w:p>
      <w:pPr>
        <w:spacing w:before="25"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（1）供应商具有有效的营业执照</w:t>
      </w:r>
      <w:r>
        <w:rPr>
          <w:rFonts w:ascii="宋体" w:hAnsi="宋体" w:eastAsia="宋体" w:cs="Arial"/>
          <w:color w:val="000000" w:themeColor="text1"/>
          <w:sz w:val="24"/>
          <w:szCs w:val="24"/>
          <w14:textFill>
            <w14:solidFill>
              <w14:schemeClr w14:val="tx1"/>
            </w14:solidFill>
          </w14:textFill>
        </w:rPr>
        <w:t>。</w:t>
      </w:r>
      <w:r>
        <w:rPr>
          <w:rFonts w:hint="eastAsia" w:ascii="宋体" w:hAnsi="宋体" w:eastAsia="宋体"/>
          <w:bCs/>
          <w:color w:val="000000" w:themeColor="text1"/>
          <w:sz w:val="24"/>
          <w:szCs w:val="24"/>
          <w14:textFill>
            <w14:solidFill>
              <w14:schemeClr w14:val="tx1"/>
            </w14:solidFill>
          </w14:textFill>
        </w:rPr>
        <w:t>（投标文件中提供营业执照复印件）</w:t>
      </w:r>
    </w:p>
    <w:p>
      <w:pPr>
        <w:spacing w:before="25"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（2）本项目不接受联合体投标。</w:t>
      </w:r>
    </w:p>
    <w:p>
      <w:pPr>
        <w:tabs>
          <w:tab w:val="left" w:pos="4088"/>
        </w:tabs>
        <w:spacing w:line="360" w:lineRule="auto"/>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3.初步评审</w:t>
      </w:r>
    </w:p>
    <w:p>
      <w:pPr>
        <w:pStyle w:val="11"/>
        <w:spacing w:beforeLines="25" w:line="360" w:lineRule="auto"/>
        <w:ind w:left="480" w:hanging="480" w:hangingChars="200"/>
        <w:rPr>
          <w:rFonts w:hAnsi="宋体" w:cs="Arial"/>
          <w:color w:val="000000" w:themeColor="text1"/>
          <w:spacing w:val="0"/>
          <w:w w:val="100"/>
          <w:sz w:val="24"/>
          <w:szCs w:val="24"/>
          <w14:textFill>
            <w14:solidFill>
              <w14:schemeClr w14:val="tx1"/>
            </w14:solidFill>
          </w14:textFill>
        </w:rPr>
      </w:pPr>
      <w:r>
        <w:rPr>
          <w:rFonts w:hint="eastAsia" w:hAnsi="宋体" w:cs="Arial"/>
          <w:color w:val="000000" w:themeColor="text1"/>
          <w:spacing w:val="0"/>
          <w:w w:val="100"/>
          <w:sz w:val="24"/>
          <w:szCs w:val="24"/>
          <w14:textFill>
            <w14:solidFill>
              <w14:schemeClr w14:val="tx1"/>
            </w14:solidFill>
          </w14:textFill>
        </w:rPr>
        <w:t>3.1</w:t>
      </w:r>
      <w:r>
        <w:rPr>
          <w:rFonts w:hAnsi="宋体" w:cs="Arial"/>
          <w:color w:val="000000" w:themeColor="text1"/>
          <w:spacing w:val="0"/>
          <w:w w:val="100"/>
          <w:sz w:val="24"/>
          <w:szCs w:val="24"/>
          <w14:textFill>
            <w14:solidFill>
              <w14:schemeClr w14:val="tx1"/>
            </w14:solidFill>
          </w14:textFill>
        </w:rPr>
        <w:t>评审委员会</w:t>
      </w:r>
      <w:r>
        <w:rPr>
          <w:rFonts w:hint="eastAsia" w:hAnsi="宋体" w:cs="Arial"/>
          <w:color w:val="000000" w:themeColor="text1"/>
          <w:spacing w:val="0"/>
          <w:w w:val="100"/>
          <w:sz w:val="24"/>
          <w:szCs w:val="24"/>
          <w14:textFill>
            <w14:solidFill>
              <w14:schemeClr w14:val="tx1"/>
            </w14:solidFill>
          </w14:textFill>
        </w:rPr>
        <w:t>在详细评标前对投标文件进行初步</w:t>
      </w:r>
      <w:r>
        <w:rPr>
          <w:rFonts w:hAnsi="宋体" w:cs="Arial"/>
          <w:color w:val="000000" w:themeColor="text1"/>
          <w:spacing w:val="0"/>
          <w:w w:val="100"/>
          <w:sz w:val="24"/>
          <w:szCs w:val="24"/>
          <w14:textFill>
            <w14:solidFill>
              <w14:schemeClr w14:val="tx1"/>
            </w14:solidFill>
          </w14:textFill>
        </w:rPr>
        <w:t>评审</w:t>
      </w:r>
      <w:r>
        <w:rPr>
          <w:rFonts w:hint="eastAsia" w:hAnsi="宋体" w:cs="Arial"/>
          <w:color w:val="000000" w:themeColor="text1"/>
          <w:spacing w:val="0"/>
          <w:w w:val="100"/>
          <w:sz w:val="24"/>
          <w:szCs w:val="24"/>
          <w14:textFill>
            <w14:solidFill>
              <w14:schemeClr w14:val="tx1"/>
            </w14:solidFill>
          </w14:textFill>
        </w:rPr>
        <w:t>，</w:t>
      </w:r>
      <w:r>
        <w:rPr>
          <w:rFonts w:hAnsi="宋体" w:cs="Arial"/>
          <w:color w:val="000000" w:themeColor="text1"/>
          <w:spacing w:val="0"/>
          <w:w w:val="100"/>
          <w:sz w:val="24"/>
          <w:szCs w:val="24"/>
          <w14:textFill>
            <w14:solidFill>
              <w14:schemeClr w14:val="tx1"/>
            </w14:solidFill>
          </w14:textFill>
        </w:rPr>
        <w:t>评审投标文件是否</w:t>
      </w:r>
      <w:r>
        <w:rPr>
          <w:rFonts w:hint="eastAsia" w:hAnsi="宋体" w:cs="Arial"/>
          <w:color w:val="000000" w:themeColor="text1"/>
          <w:spacing w:val="0"/>
          <w:w w:val="100"/>
          <w:sz w:val="24"/>
          <w:szCs w:val="24"/>
          <w:lang w:val="en-US" w:eastAsia="zh-CN"/>
          <w14:textFill>
            <w14:solidFill>
              <w14:schemeClr w14:val="tx1"/>
            </w14:solidFill>
          </w14:textFill>
        </w:rPr>
        <w:t>对招标</w:t>
      </w:r>
      <w:r>
        <w:rPr>
          <w:rFonts w:hAnsi="宋体" w:cs="Arial"/>
          <w:color w:val="000000" w:themeColor="text1"/>
          <w:spacing w:val="0"/>
          <w:w w:val="100"/>
          <w:sz w:val="24"/>
          <w:szCs w:val="24"/>
          <w14:textFill>
            <w14:solidFill>
              <w14:schemeClr w14:val="tx1"/>
            </w14:solidFill>
          </w14:textFill>
        </w:rPr>
        <w:t>文件</w:t>
      </w:r>
      <w:r>
        <w:rPr>
          <w:rFonts w:hint="eastAsia" w:hAnsi="宋体" w:cs="Arial"/>
          <w:color w:val="000000" w:themeColor="text1"/>
          <w:spacing w:val="0"/>
          <w:w w:val="100"/>
          <w:sz w:val="24"/>
          <w:szCs w:val="24"/>
          <w:lang w:eastAsia="zh-CN"/>
          <w14:textFill>
            <w14:solidFill>
              <w14:schemeClr w14:val="tx1"/>
            </w14:solidFill>
          </w14:textFill>
        </w:rPr>
        <w:t>作出</w:t>
      </w:r>
      <w:r>
        <w:rPr>
          <w:rFonts w:hAnsi="宋体" w:cs="Arial"/>
          <w:color w:val="000000" w:themeColor="text1"/>
          <w:spacing w:val="0"/>
          <w:w w:val="100"/>
          <w:sz w:val="24"/>
          <w:szCs w:val="24"/>
          <w14:textFill>
            <w14:solidFill>
              <w14:schemeClr w14:val="tx1"/>
            </w14:solidFill>
          </w14:textFill>
        </w:rPr>
        <w:t>实质性响应，未对招标文件</w:t>
      </w:r>
      <w:r>
        <w:rPr>
          <w:rFonts w:hint="eastAsia" w:hAnsi="宋体" w:cs="Arial"/>
          <w:color w:val="000000" w:themeColor="text1"/>
          <w:spacing w:val="0"/>
          <w:w w:val="100"/>
          <w:sz w:val="24"/>
          <w:szCs w:val="24"/>
          <w:lang w:eastAsia="zh-CN"/>
          <w14:textFill>
            <w14:solidFill>
              <w14:schemeClr w14:val="tx1"/>
            </w14:solidFill>
          </w14:textFill>
        </w:rPr>
        <w:t>作出</w:t>
      </w:r>
      <w:r>
        <w:rPr>
          <w:rFonts w:hAnsi="宋体" w:cs="Arial"/>
          <w:color w:val="000000" w:themeColor="text1"/>
          <w:spacing w:val="0"/>
          <w:w w:val="100"/>
          <w:sz w:val="24"/>
          <w:szCs w:val="24"/>
          <w14:textFill>
            <w14:solidFill>
              <w14:schemeClr w14:val="tx1"/>
            </w14:solidFill>
          </w14:textFill>
        </w:rPr>
        <w:t>实质性响应的投标</w:t>
      </w:r>
      <w:r>
        <w:rPr>
          <w:rFonts w:hint="eastAsia" w:hAnsi="宋体" w:cs="Arial"/>
          <w:color w:val="000000" w:themeColor="text1"/>
          <w:spacing w:val="0"/>
          <w:w w:val="100"/>
          <w:sz w:val="24"/>
          <w:szCs w:val="24"/>
          <w14:textFill>
            <w14:solidFill>
              <w14:schemeClr w14:val="tx1"/>
            </w14:solidFill>
          </w14:textFill>
        </w:rPr>
        <w:t>将被否决，初步</w:t>
      </w:r>
      <w:r>
        <w:rPr>
          <w:rFonts w:hAnsi="宋体" w:cs="Arial"/>
          <w:color w:val="000000" w:themeColor="text1"/>
          <w:spacing w:val="0"/>
          <w:w w:val="100"/>
          <w:sz w:val="24"/>
          <w:szCs w:val="24"/>
          <w14:textFill>
            <w14:solidFill>
              <w14:schemeClr w14:val="tx1"/>
            </w14:solidFill>
          </w14:textFill>
        </w:rPr>
        <w:t>评审不合格</w:t>
      </w:r>
      <w:r>
        <w:rPr>
          <w:rFonts w:hint="eastAsia" w:hAnsi="宋体" w:cs="Arial"/>
          <w:color w:val="000000" w:themeColor="text1"/>
          <w:spacing w:val="0"/>
          <w:w w:val="100"/>
          <w:sz w:val="24"/>
          <w:szCs w:val="24"/>
          <w14:textFill>
            <w14:solidFill>
              <w14:schemeClr w14:val="tx1"/>
            </w14:solidFill>
          </w14:textFill>
        </w:rPr>
        <w:t>。评审委员会对初步评审不合格的投标不再参与后续评审及</w:t>
      </w:r>
      <w:r>
        <w:rPr>
          <w:rFonts w:hAnsi="宋体" w:cs="Arial"/>
          <w:color w:val="000000" w:themeColor="text1"/>
          <w:spacing w:val="0"/>
          <w:w w:val="100"/>
          <w:sz w:val="24"/>
          <w:szCs w:val="24"/>
          <w14:textFill>
            <w14:solidFill>
              <w14:schemeClr w14:val="tx1"/>
            </w14:solidFill>
          </w14:textFill>
        </w:rPr>
        <w:t>排序。</w:t>
      </w:r>
    </w:p>
    <w:p>
      <w:pPr>
        <w:pStyle w:val="11"/>
        <w:spacing w:beforeLines="25" w:line="360" w:lineRule="auto"/>
        <w:rPr>
          <w:rFonts w:hAnsi="宋体" w:cs="Arial"/>
          <w:color w:val="000000" w:themeColor="text1"/>
          <w:spacing w:val="0"/>
          <w:w w:val="100"/>
          <w:sz w:val="24"/>
          <w:szCs w:val="24"/>
          <w14:textFill>
            <w14:solidFill>
              <w14:schemeClr w14:val="tx1"/>
            </w14:solidFill>
          </w14:textFill>
        </w:rPr>
      </w:pPr>
      <w:r>
        <w:rPr>
          <w:rFonts w:hint="eastAsia" w:hAnsi="宋体" w:cs="Arial"/>
          <w:color w:val="000000" w:themeColor="text1"/>
          <w:spacing w:val="0"/>
          <w:w w:val="100"/>
          <w:sz w:val="24"/>
          <w:szCs w:val="24"/>
          <w14:textFill>
            <w14:solidFill>
              <w14:schemeClr w14:val="tx1"/>
            </w14:solidFill>
          </w14:textFill>
        </w:rPr>
        <w:t>3.2有下列情况之一的投标，初步评审不合格：</w:t>
      </w:r>
    </w:p>
    <w:p>
      <w:pPr>
        <w:numPr>
          <w:ilvl w:val="0"/>
          <w:numId w:val="7"/>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投标文件未加盖单位公章，或无法定代表人或法定代表人委托代理人签字或</w:t>
      </w:r>
    </w:p>
    <w:p>
      <w:pPr>
        <w:spacing w:before="25" w:line="360" w:lineRule="auto"/>
        <w:ind w:left="479" w:leftChars="228" w:firstLine="0" w:firstLineChars="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盖章的，</w:t>
      </w:r>
      <w:r>
        <w:rPr>
          <w:rFonts w:ascii="宋体" w:hAnsi="宋体" w:eastAsia="宋体" w:cs="Arial"/>
          <w:color w:val="000000" w:themeColor="text1"/>
          <w:sz w:val="24"/>
          <w:szCs w:val="24"/>
          <w14:textFill>
            <w14:solidFill>
              <w14:schemeClr w14:val="tx1"/>
            </w14:solidFill>
          </w14:textFill>
        </w:rPr>
        <w:t>由委托代理人签字或盖章的，但未随投标文件一起提交有效的“授权委托书”的</w:t>
      </w:r>
      <w:r>
        <w:rPr>
          <w:rFonts w:hint="eastAsia" w:ascii="宋体" w:hAnsi="宋体" w:eastAsia="宋体" w:cs="Arial"/>
          <w:color w:val="000000" w:themeColor="text1"/>
          <w:sz w:val="24"/>
          <w:szCs w:val="24"/>
          <w14:textFill>
            <w14:solidFill>
              <w14:schemeClr w14:val="tx1"/>
            </w14:solidFill>
          </w14:textFill>
        </w:rPr>
        <w:t>；</w:t>
      </w:r>
    </w:p>
    <w:p>
      <w:pPr>
        <w:numPr>
          <w:ilvl w:val="0"/>
          <w:numId w:val="7"/>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投标文件实质性内容未按</w:t>
      </w:r>
      <w:r>
        <w:rPr>
          <w:rFonts w:hint="eastAsia" w:ascii="宋体" w:hAnsi="宋体" w:eastAsia="宋体"/>
          <w:color w:val="000000" w:themeColor="text1"/>
          <w:sz w:val="24"/>
          <w:lang w:val="en-US" w:eastAsia="zh-CN"/>
          <w14:textFill>
            <w14:solidFill>
              <w14:schemeClr w14:val="tx1"/>
            </w14:solidFill>
          </w14:textFill>
        </w:rPr>
        <w:t>招标</w:t>
      </w:r>
      <w:r>
        <w:rPr>
          <w:rFonts w:hint="eastAsia" w:ascii="宋体" w:hAnsi="宋体" w:eastAsia="宋体" w:cs="Arial"/>
          <w:color w:val="000000" w:themeColor="text1"/>
          <w:sz w:val="24"/>
          <w:szCs w:val="24"/>
          <w14:textFill>
            <w14:solidFill>
              <w14:schemeClr w14:val="tx1"/>
            </w14:solidFill>
          </w14:textFill>
        </w:rPr>
        <w:t>文件中规定的格式内容填写</w:t>
      </w:r>
      <w:r>
        <w:rPr>
          <w:rFonts w:ascii="宋体" w:hAnsi="宋体" w:eastAsia="宋体" w:cs="Arial"/>
          <w:color w:val="000000" w:themeColor="text1"/>
          <w:sz w:val="24"/>
          <w:szCs w:val="24"/>
          <w14:textFill>
            <w14:solidFill>
              <w14:schemeClr w14:val="tx1"/>
            </w14:solidFill>
          </w14:textFill>
        </w:rPr>
        <w:t>，内容</w:t>
      </w:r>
      <w:r>
        <w:rPr>
          <w:rFonts w:hint="eastAsia" w:ascii="宋体" w:hAnsi="宋体" w:eastAsia="宋体" w:cs="Arial"/>
          <w:color w:val="000000" w:themeColor="text1"/>
          <w:sz w:val="24"/>
          <w:szCs w:val="24"/>
          <w14:textFill>
            <w14:solidFill>
              <w14:schemeClr w14:val="tx1"/>
            </w14:solidFill>
          </w14:textFill>
        </w:rPr>
        <w:t>不完整</w:t>
      </w:r>
      <w:r>
        <w:rPr>
          <w:rFonts w:hint="eastAsia" w:ascii="宋体" w:hAnsi="宋体" w:eastAsia="宋体" w:cs="Arial"/>
          <w:color w:val="000000" w:themeColor="text1"/>
          <w:sz w:val="24"/>
          <w:szCs w:val="24"/>
          <w:lang w:eastAsia="zh-CN"/>
          <w14:textFill>
            <w14:solidFill>
              <w14:schemeClr w14:val="tx1"/>
            </w14:solidFill>
          </w14:textFill>
        </w:rPr>
        <w:t>以致</w:t>
      </w:r>
    </w:p>
    <w:p>
      <w:pPr>
        <w:spacing w:before="25"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影响投标文件评审且不符合招标文件错误修正条件的；</w:t>
      </w:r>
    </w:p>
    <w:p>
      <w:pPr>
        <w:pStyle w:val="11"/>
        <w:numPr>
          <w:ilvl w:val="0"/>
          <w:numId w:val="7"/>
        </w:numPr>
        <w:spacing w:beforeLines="25" w:line="360" w:lineRule="auto"/>
        <w:rPr>
          <w:rFonts w:hAnsi="宋体" w:cs="Arial"/>
          <w:color w:val="000000" w:themeColor="text1"/>
          <w:spacing w:val="0"/>
          <w:w w:val="100"/>
          <w:sz w:val="24"/>
          <w:szCs w:val="24"/>
          <w14:textFill>
            <w14:solidFill>
              <w14:schemeClr w14:val="tx1"/>
            </w14:solidFill>
          </w14:textFill>
        </w:rPr>
      </w:pPr>
      <w:r>
        <w:rPr>
          <w:rFonts w:hAnsi="宋体" w:cs="Arial"/>
          <w:color w:val="000000" w:themeColor="text1"/>
          <w:spacing w:val="0"/>
          <w:w w:val="100"/>
          <w:sz w:val="24"/>
          <w:szCs w:val="24"/>
          <w14:textFill>
            <w14:solidFill>
              <w14:schemeClr w14:val="tx1"/>
            </w14:solidFill>
          </w14:textFill>
        </w:rPr>
        <w:t>超出经营范围投标的</w:t>
      </w:r>
      <w:r>
        <w:rPr>
          <w:rFonts w:hint="eastAsia" w:hAnsi="宋体" w:cs="Arial"/>
          <w:color w:val="000000" w:themeColor="text1"/>
          <w:spacing w:val="0"/>
          <w:w w:val="100"/>
          <w:sz w:val="24"/>
          <w:szCs w:val="24"/>
          <w14:textFill>
            <w14:solidFill>
              <w14:schemeClr w14:val="tx1"/>
            </w14:solidFill>
          </w14:textFill>
        </w:rPr>
        <w:t>；</w:t>
      </w:r>
    </w:p>
    <w:p>
      <w:pPr>
        <w:numPr>
          <w:ilvl w:val="0"/>
          <w:numId w:val="7"/>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其他违反有关法律法规规定的。</w:t>
      </w:r>
    </w:p>
    <w:p>
      <w:pPr>
        <w:numPr>
          <w:ilvl w:val="0"/>
          <w:numId w:val="7"/>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主要技术规格和合同的重要条款与招标文件有实质性偏差或保留的。</w:t>
      </w:r>
    </w:p>
    <w:p>
      <w:pPr>
        <w:numPr>
          <w:ilvl w:val="0"/>
          <w:numId w:val="7"/>
        </w:numPr>
        <w:spacing w:before="25" w:line="360" w:lineRule="auto"/>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招标文件规定的其他否决投标条款。</w:t>
      </w:r>
    </w:p>
    <w:p>
      <w:pPr>
        <w:pStyle w:val="20"/>
        <w:numPr>
          <w:ilvl w:val="0"/>
          <w:numId w:val="8"/>
        </w:numPr>
        <w:spacing w:line="360" w:lineRule="auto"/>
        <w:ind w:left="120" w:leftChars="0" w:firstLine="0" w:firstLineChars="0"/>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4" w:name="_Toc24526310"/>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评分办</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法</w:t>
      </w:r>
    </w:p>
    <w:bookmarkEnd w:id="4"/>
    <w:p>
      <w:pPr>
        <w:jc w:val="center"/>
        <w:rPr>
          <w:rFonts w:hint="eastAsia"/>
          <w:color w:val="000000" w:themeColor="text1"/>
          <w:sz w:val="36"/>
          <w:szCs w:val="36"/>
          <w14:textFill>
            <w14:solidFill>
              <w14:schemeClr w14:val="tx1"/>
            </w14:solidFill>
          </w14:textFill>
        </w:rPr>
      </w:pPr>
    </w:p>
    <w:tbl>
      <w:tblPr>
        <w:tblStyle w:val="17"/>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3"/>
        <w:gridCol w:w="1313"/>
        <w:gridCol w:w="5874"/>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913" w:type="dxa"/>
            <w:vAlign w:val="center"/>
          </w:tcPr>
          <w:p>
            <w:pPr>
              <w:spacing w:line="240" w:lineRule="auto"/>
              <w:jc w:val="center"/>
              <w:rPr>
                <w:rFonts w:ascii="仿宋" w:hAnsi="仿宋" w:eastAsia="仿宋" w:cs="仿宋"/>
                <w:b/>
                <w:bCs/>
                <w:sz w:val="24"/>
                <w:szCs w:val="24"/>
              </w:rPr>
            </w:pPr>
            <w:r>
              <w:rPr>
                <w:rFonts w:hint="eastAsia" w:ascii="仿宋" w:hAnsi="仿宋" w:eastAsia="仿宋" w:cs="仿宋"/>
                <w:b/>
                <w:bCs/>
                <w:sz w:val="24"/>
                <w:szCs w:val="24"/>
              </w:rPr>
              <w:t>类别</w:t>
            </w:r>
          </w:p>
        </w:tc>
        <w:tc>
          <w:tcPr>
            <w:tcW w:w="1313" w:type="dxa"/>
            <w:vAlign w:val="center"/>
          </w:tcPr>
          <w:p>
            <w:pPr>
              <w:spacing w:line="240" w:lineRule="auto"/>
              <w:jc w:val="center"/>
              <w:rPr>
                <w:rFonts w:ascii="仿宋" w:hAnsi="仿宋" w:eastAsia="仿宋" w:cs="仿宋"/>
                <w:b/>
                <w:bCs/>
                <w:sz w:val="24"/>
                <w:szCs w:val="24"/>
              </w:rPr>
            </w:pPr>
            <w:r>
              <w:rPr>
                <w:rFonts w:hint="eastAsia" w:ascii="仿宋" w:hAnsi="仿宋" w:eastAsia="仿宋" w:cs="仿宋"/>
                <w:b/>
                <w:bCs/>
                <w:sz w:val="24"/>
                <w:szCs w:val="24"/>
              </w:rPr>
              <w:t>评分内容</w:t>
            </w:r>
          </w:p>
        </w:tc>
        <w:tc>
          <w:tcPr>
            <w:tcW w:w="5874" w:type="dxa"/>
            <w:vAlign w:val="center"/>
          </w:tcPr>
          <w:p>
            <w:pPr>
              <w:spacing w:line="240" w:lineRule="auto"/>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803" w:type="dxa"/>
            <w:vAlign w:val="center"/>
          </w:tcPr>
          <w:p>
            <w:pPr>
              <w:spacing w:line="240" w:lineRule="auto"/>
              <w:jc w:val="center"/>
              <w:rPr>
                <w:rFonts w:ascii="仿宋" w:hAnsi="仿宋" w:eastAsia="仿宋" w:cs="仿宋"/>
                <w:b/>
                <w:bCs/>
                <w:sz w:val="24"/>
                <w:szCs w:val="24"/>
              </w:rPr>
            </w:pPr>
            <w:r>
              <w:rPr>
                <w:rFonts w:hint="eastAsia" w:ascii="仿宋" w:hAnsi="仿宋" w:eastAsia="仿宋" w:cs="仿宋"/>
                <w:b/>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913" w:type="dxa"/>
            <w:vMerge w:val="restart"/>
            <w:vAlign w:val="center"/>
          </w:tcPr>
          <w:p>
            <w:pPr>
              <w:spacing w:line="240" w:lineRule="auto"/>
              <w:jc w:val="center"/>
              <w:rPr>
                <w:rFonts w:ascii="仿宋" w:hAnsi="仿宋" w:eastAsia="仿宋" w:cs="仿宋"/>
                <w:sz w:val="24"/>
                <w:szCs w:val="24"/>
              </w:rPr>
            </w:pPr>
            <w:r>
              <w:rPr>
                <w:rFonts w:hint="eastAsia" w:ascii="仿宋" w:hAnsi="仿宋" w:eastAsia="仿宋" w:cs="仿宋"/>
                <w:sz w:val="24"/>
                <w:szCs w:val="24"/>
              </w:rPr>
              <w:t>技术</w:t>
            </w:r>
          </w:p>
          <w:p>
            <w:pPr>
              <w:spacing w:line="240" w:lineRule="auto"/>
              <w:jc w:val="center"/>
              <w:rPr>
                <w:rFonts w:ascii="仿宋" w:hAnsi="仿宋" w:eastAsia="仿宋" w:cs="仿宋"/>
                <w:sz w:val="24"/>
                <w:szCs w:val="24"/>
              </w:rPr>
            </w:pPr>
            <w:r>
              <w:rPr>
                <w:rFonts w:hint="eastAsia" w:ascii="仿宋" w:hAnsi="仿宋" w:eastAsia="仿宋" w:cs="仿宋"/>
                <w:sz w:val="24"/>
                <w:szCs w:val="24"/>
              </w:rPr>
              <w:t>资信</w:t>
            </w:r>
          </w:p>
          <w:p>
            <w:pPr>
              <w:spacing w:line="240" w:lineRule="auto"/>
              <w:jc w:val="center"/>
              <w:rPr>
                <w:rFonts w:ascii="仿宋" w:hAnsi="仿宋" w:eastAsia="仿宋" w:cs="仿宋"/>
                <w:sz w:val="24"/>
                <w:szCs w:val="24"/>
              </w:rPr>
            </w:pPr>
            <w:r>
              <w:rPr>
                <w:rFonts w:hint="eastAsia" w:ascii="仿宋" w:hAnsi="仿宋" w:eastAsia="仿宋" w:cs="仿宋"/>
                <w:sz w:val="24"/>
                <w:szCs w:val="24"/>
              </w:rPr>
              <w:t>分</w:t>
            </w:r>
          </w:p>
          <w:p>
            <w:pPr>
              <w:spacing w:line="24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0分）</w:t>
            </w:r>
          </w:p>
        </w:tc>
        <w:tc>
          <w:tcPr>
            <w:tcW w:w="1313" w:type="dxa"/>
            <w:vAlign w:val="center"/>
          </w:tcPr>
          <w:p>
            <w:pPr>
              <w:spacing w:line="240" w:lineRule="auto"/>
              <w:jc w:val="center"/>
              <w:rPr>
                <w:rFonts w:ascii="仿宋" w:hAnsi="仿宋" w:eastAsia="仿宋" w:cs="仿宋"/>
                <w:sz w:val="24"/>
                <w:szCs w:val="24"/>
              </w:rPr>
            </w:pPr>
            <w:r>
              <w:rPr>
                <w:rFonts w:hint="eastAsia" w:ascii="仿宋" w:hAnsi="仿宋" w:eastAsia="仿宋" w:cs="仿宋"/>
                <w:sz w:val="24"/>
                <w:szCs w:val="24"/>
              </w:rPr>
              <w:t>整体服务方案</w:t>
            </w:r>
          </w:p>
        </w:tc>
        <w:tc>
          <w:tcPr>
            <w:tcW w:w="5874" w:type="dxa"/>
            <w:vAlign w:val="center"/>
          </w:tcPr>
          <w:p>
            <w:pPr>
              <w:spacing w:line="240" w:lineRule="auto"/>
              <w:rPr>
                <w:rFonts w:ascii="仿宋" w:hAnsi="仿宋" w:eastAsia="仿宋" w:cs="仿宋"/>
                <w:sz w:val="24"/>
                <w:szCs w:val="24"/>
              </w:rPr>
            </w:pPr>
            <w:r>
              <w:rPr>
                <w:rFonts w:hint="eastAsia" w:ascii="仿宋" w:hAnsi="仿宋" w:eastAsia="仿宋" w:cs="仿宋"/>
                <w:sz w:val="24"/>
                <w:szCs w:val="24"/>
              </w:rPr>
              <w:t>供应商在响应文件中提供针对本项目的整体服务方案，包括但不限于内容运维、工作制度、技术保障等方面内容。评标小组依据方案中的综合反映情况，酌情进行评审。</w:t>
            </w:r>
          </w:p>
          <w:p>
            <w:pPr>
              <w:spacing w:line="240" w:lineRule="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内容运维：方案设计针对性、可行性、全面性整体全面具体，能够完全满足或优于招标文件的要求，按5分进行评分；方案设计针对性、可行性、全面性整体较好，能够基本满足招标文件的要求，按3</w:t>
            </w:r>
            <w:r>
              <w:rPr>
                <w:rFonts w:hint="eastAsia" w:ascii="仿宋" w:hAnsi="仿宋" w:eastAsia="仿宋" w:cs="仿宋"/>
                <w:sz w:val="24"/>
                <w:szCs w:val="24"/>
                <w:lang w:eastAsia="zh-CN"/>
              </w:rPr>
              <w:t>—</w:t>
            </w:r>
            <w:r>
              <w:rPr>
                <w:rFonts w:hint="eastAsia" w:ascii="仿宋" w:hAnsi="仿宋" w:eastAsia="仿宋" w:cs="仿宋"/>
                <w:sz w:val="24"/>
                <w:szCs w:val="24"/>
              </w:rPr>
              <w:t>4分进行评分；方案设计针对性、可行性、全面性整体有待提高，只能部分满足招标文件的要求，按1</w:t>
            </w:r>
            <w:r>
              <w:rPr>
                <w:rFonts w:hint="eastAsia" w:ascii="仿宋" w:hAnsi="仿宋" w:eastAsia="仿宋" w:cs="仿宋"/>
                <w:sz w:val="24"/>
                <w:szCs w:val="24"/>
                <w:lang w:eastAsia="zh-CN"/>
              </w:rPr>
              <w:t>—</w:t>
            </w:r>
            <w:r>
              <w:rPr>
                <w:rFonts w:hint="eastAsia" w:ascii="仿宋" w:hAnsi="仿宋" w:eastAsia="仿宋" w:cs="仿宋"/>
                <w:sz w:val="24"/>
                <w:szCs w:val="24"/>
              </w:rPr>
              <w:t>2分进行评分；方案设计差或未提供相关内容，不得分。</w:t>
            </w:r>
          </w:p>
          <w:p>
            <w:pPr>
              <w:spacing w:line="240"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工作制度：方案设计针对性、可行性、全面性整体全面具体，能够完全满足或优于招标文件的要求，按5分进行评分；方案设计针对性、可行性、全面性整体较好，能够基本满足招标文件的要求，按3</w:t>
            </w:r>
            <w:r>
              <w:rPr>
                <w:rFonts w:hint="eastAsia" w:ascii="仿宋" w:hAnsi="仿宋" w:eastAsia="仿宋" w:cs="仿宋"/>
                <w:sz w:val="24"/>
                <w:szCs w:val="24"/>
                <w:lang w:eastAsia="zh-CN"/>
              </w:rPr>
              <w:t>—</w:t>
            </w:r>
            <w:r>
              <w:rPr>
                <w:rFonts w:hint="eastAsia" w:ascii="仿宋" w:hAnsi="仿宋" w:eastAsia="仿宋" w:cs="仿宋"/>
                <w:sz w:val="24"/>
                <w:szCs w:val="24"/>
              </w:rPr>
              <w:t>4分进行评分；方案设计针对性、可行性、全面性整体有待提高，只能部分满足招标文件的要求，按1</w:t>
            </w:r>
            <w:r>
              <w:rPr>
                <w:rFonts w:hint="eastAsia" w:ascii="仿宋" w:hAnsi="仿宋" w:eastAsia="仿宋" w:cs="仿宋"/>
                <w:sz w:val="24"/>
                <w:szCs w:val="24"/>
                <w:lang w:eastAsia="zh-CN"/>
              </w:rPr>
              <w:t>—</w:t>
            </w:r>
            <w:r>
              <w:rPr>
                <w:rFonts w:hint="eastAsia" w:ascii="仿宋" w:hAnsi="仿宋" w:eastAsia="仿宋" w:cs="仿宋"/>
                <w:sz w:val="24"/>
                <w:szCs w:val="24"/>
              </w:rPr>
              <w:t>2分进行评分；方案设计差或未提供相关内容，不得分。</w:t>
            </w:r>
          </w:p>
          <w:p>
            <w:pPr>
              <w:spacing w:line="240" w:lineRule="auto"/>
              <w:rPr>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技术保障：方案设计针对性、可行性、全面性整体全面具体，能够完全满足或优于招标文件的要求，按5分进行评分；方案设计针对性、可行性、全面性整体较好，能够基本满足招标文件的要求，按3</w:t>
            </w:r>
            <w:r>
              <w:rPr>
                <w:rFonts w:hint="eastAsia" w:ascii="仿宋" w:hAnsi="仿宋" w:eastAsia="仿宋" w:cs="仿宋"/>
                <w:sz w:val="24"/>
                <w:szCs w:val="24"/>
                <w:lang w:eastAsia="zh-CN"/>
              </w:rPr>
              <w:t>—</w:t>
            </w:r>
            <w:r>
              <w:rPr>
                <w:rFonts w:hint="eastAsia" w:ascii="仿宋" w:hAnsi="仿宋" w:eastAsia="仿宋" w:cs="仿宋"/>
                <w:sz w:val="24"/>
                <w:szCs w:val="24"/>
              </w:rPr>
              <w:t>4分进行评分；方案设计针对性、可行性、全面性整体有待提高，只能部分满足招标文件的要求，按1</w:t>
            </w:r>
            <w:r>
              <w:rPr>
                <w:rFonts w:hint="eastAsia" w:ascii="仿宋" w:hAnsi="仿宋" w:eastAsia="仿宋" w:cs="仿宋"/>
                <w:sz w:val="24"/>
                <w:szCs w:val="24"/>
                <w:lang w:eastAsia="zh-CN"/>
              </w:rPr>
              <w:t>—</w:t>
            </w:r>
            <w:r>
              <w:rPr>
                <w:rFonts w:hint="eastAsia" w:ascii="仿宋" w:hAnsi="仿宋" w:eastAsia="仿宋" w:cs="仿宋"/>
                <w:sz w:val="24"/>
                <w:szCs w:val="24"/>
              </w:rPr>
              <w:t>2分进行评分；方案设计差或提供相关内容，不得分。</w:t>
            </w:r>
          </w:p>
        </w:tc>
        <w:tc>
          <w:tcPr>
            <w:tcW w:w="803" w:type="dxa"/>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913" w:type="dxa"/>
            <w:vMerge w:val="continue"/>
            <w:vAlign w:val="center"/>
          </w:tcPr>
          <w:p>
            <w:pPr>
              <w:spacing w:line="240" w:lineRule="auto"/>
              <w:jc w:val="center"/>
              <w:rPr>
                <w:rFonts w:ascii="仿宋" w:hAnsi="仿宋" w:eastAsia="仿宋" w:cs="仿宋"/>
                <w:sz w:val="24"/>
                <w:szCs w:val="24"/>
              </w:rPr>
            </w:pPr>
          </w:p>
        </w:tc>
        <w:tc>
          <w:tcPr>
            <w:tcW w:w="1313" w:type="dxa"/>
            <w:vAlign w:val="center"/>
          </w:tcPr>
          <w:p>
            <w:pPr>
              <w:spacing w:line="240" w:lineRule="auto"/>
              <w:jc w:val="center"/>
              <w:rPr>
                <w:rFonts w:ascii="仿宋" w:hAnsi="仿宋" w:eastAsia="仿宋" w:cs="仿宋"/>
                <w:sz w:val="24"/>
                <w:szCs w:val="24"/>
              </w:rPr>
            </w:pPr>
            <w:r>
              <w:rPr>
                <w:rFonts w:hint="eastAsia" w:ascii="仿宋" w:hAnsi="仿宋" w:eastAsia="仿宋" w:cs="仿宋"/>
                <w:sz w:val="24"/>
                <w:szCs w:val="24"/>
              </w:rPr>
              <w:t>宣传推广</w:t>
            </w:r>
          </w:p>
          <w:p>
            <w:pPr>
              <w:spacing w:line="240" w:lineRule="auto"/>
              <w:jc w:val="center"/>
              <w:rPr>
                <w:rFonts w:ascii="仿宋" w:hAnsi="仿宋" w:eastAsia="仿宋" w:cs="仿宋"/>
                <w:sz w:val="24"/>
                <w:szCs w:val="24"/>
              </w:rPr>
            </w:pPr>
            <w:r>
              <w:rPr>
                <w:rFonts w:hint="eastAsia" w:ascii="仿宋" w:hAnsi="仿宋" w:eastAsia="仿宋" w:cs="仿宋"/>
                <w:sz w:val="24"/>
                <w:szCs w:val="24"/>
              </w:rPr>
              <w:t>方案</w:t>
            </w:r>
          </w:p>
        </w:tc>
        <w:tc>
          <w:tcPr>
            <w:tcW w:w="5874" w:type="dxa"/>
            <w:vAlign w:val="center"/>
          </w:tcPr>
          <w:p>
            <w:pPr>
              <w:spacing w:line="240" w:lineRule="auto"/>
              <w:rPr>
                <w:rFonts w:ascii="仿宋" w:hAnsi="仿宋" w:eastAsia="仿宋" w:cs="仿宋"/>
                <w:sz w:val="24"/>
                <w:szCs w:val="24"/>
              </w:rPr>
            </w:pPr>
            <w:r>
              <w:rPr>
                <w:rFonts w:hint="eastAsia" w:ascii="仿宋" w:hAnsi="仿宋" w:eastAsia="仿宋" w:cs="仿宋"/>
                <w:sz w:val="24"/>
                <w:szCs w:val="24"/>
              </w:rPr>
              <w:t>供应商在响应文件中提供针对本项目的宣传推广方案，评标小组根据供应商提供的方案进行综合评分。网络推广方案具有较强针对性、科学性、可行性，且能够完全</w:t>
            </w:r>
          </w:p>
          <w:p>
            <w:pPr>
              <w:spacing w:line="240" w:lineRule="auto"/>
              <w:rPr>
                <w:rFonts w:ascii="仿宋" w:hAnsi="仿宋" w:eastAsia="仿宋" w:cs="仿宋"/>
                <w:b/>
                <w:bCs/>
                <w:sz w:val="24"/>
                <w:szCs w:val="24"/>
              </w:rPr>
            </w:pPr>
            <w:r>
              <w:rPr>
                <w:rFonts w:hint="eastAsia" w:ascii="仿宋" w:hAnsi="仿宋" w:eastAsia="仿宋" w:cs="仿宋"/>
                <w:sz w:val="24"/>
                <w:szCs w:val="24"/>
              </w:rPr>
              <w:t>满足或优于招标文件要求的，得5分；方案设计比较合理、可行性较高，能够基本实现采购人的采购需求，得3-4 分；方案设计一般或未提供方案，只能部分满足或不能满足采购人的采购需求，得1</w:t>
            </w:r>
            <w:r>
              <w:rPr>
                <w:rFonts w:hint="eastAsia" w:ascii="仿宋" w:hAnsi="仿宋" w:eastAsia="仿宋" w:cs="仿宋"/>
                <w:sz w:val="24"/>
                <w:szCs w:val="24"/>
                <w:lang w:eastAsia="zh-CN"/>
              </w:rPr>
              <w:t>—</w:t>
            </w:r>
            <w:r>
              <w:rPr>
                <w:rFonts w:hint="eastAsia" w:ascii="仿宋" w:hAnsi="仿宋" w:eastAsia="仿宋" w:cs="仿宋"/>
                <w:sz w:val="24"/>
                <w:szCs w:val="24"/>
              </w:rPr>
              <w:t>2分；未提供不得分。</w:t>
            </w:r>
          </w:p>
        </w:tc>
        <w:tc>
          <w:tcPr>
            <w:tcW w:w="803" w:type="dxa"/>
            <w:vAlign w:val="center"/>
          </w:tcPr>
          <w:p>
            <w:pPr>
              <w:spacing w:line="240" w:lineRule="auto"/>
              <w:jc w:val="center"/>
              <w:rPr>
                <w:rFonts w:ascii="仿宋" w:hAnsi="仿宋" w:eastAsia="仿宋" w:cs="仿宋"/>
                <w:sz w:val="24"/>
                <w:szCs w:val="24"/>
              </w:rPr>
            </w:pPr>
            <w:r>
              <w:rPr>
                <w:rFonts w:hint="eastAsia" w:ascii="仿宋" w:hAnsi="仿宋" w:eastAsia="仿宋" w:cs="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913" w:type="dxa"/>
            <w:vMerge w:val="continue"/>
            <w:vAlign w:val="center"/>
          </w:tcPr>
          <w:p>
            <w:pPr>
              <w:spacing w:line="240" w:lineRule="auto"/>
              <w:jc w:val="center"/>
              <w:rPr>
                <w:rFonts w:ascii="仿宋" w:hAnsi="仿宋" w:eastAsia="仿宋" w:cs="仿宋"/>
                <w:sz w:val="24"/>
                <w:szCs w:val="24"/>
              </w:rPr>
            </w:pPr>
          </w:p>
        </w:tc>
        <w:tc>
          <w:tcPr>
            <w:tcW w:w="1313" w:type="dxa"/>
            <w:vAlign w:val="center"/>
          </w:tcPr>
          <w:p>
            <w:pPr>
              <w:spacing w:line="240" w:lineRule="auto"/>
              <w:jc w:val="center"/>
              <w:rPr>
                <w:rFonts w:ascii="仿宋" w:hAnsi="仿宋" w:eastAsia="仿宋" w:cs="仿宋"/>
                <w:sz w:val="24"/>
                <w:szCs w:val="24"/>
              </w:rPr>
            </w:pPr>
            <w:r>
              <w:rPr>
                <w:rFonts w:hint="eastAsia" w:ascii="仿宋" w:hAnsi="仿宋" w:eastAsia="仿宋" w:cs="仿宋"/>
                <w:sz w:val="24"/>
                <w:szCs w:val="24"/>
              </w:rPr>
              <w:t>服务团队</w:t>
            </w:r>
          </w:p>
          <w:p>
            <w:pPr>
              <w:spacing w:line="240" w:lineRule="auto"/>
              <w:jc w:val="center"/>
              <w:rPr>
                <w:rFonts w:ascii="仿宋" w:hAnsi="仿宋" w:eastAsia="仿宋" w:cs="仿宋"/>
                <w:sz w:val="24"/>
                <w:szCs w:val="24"/>
              </w:rPr>
            </w:pPr>
            <w:r>
              <w:rPr>
                <w:rFonts w:hint="eastAsia" w:ascii="仿宋" w:hAnsi="仿宋" w:eastAsia="仿宋" w:cs="仿宋"/>
                <w:sz w:val="24"/>
                <w:szCs w:val="24"/>
              </w:rPr>
              <w:t>管理方案</w:t>
            </w:r>
          </w:p>
        </w:tc>
        <w:tc>
          <w:tcPr>
            <w:tcW w:w="5874" w:type="dxa"/>
            <w:vAlign w:val="center"/>
          </w:tcPr>
          <w:p>
            <w:pPr>
              <w:spacing w:line="240" w:lineRule="auto"/>
              <w:rPr>
                <w:rFonts w:ascii="仿宋" w:hAnsi="仿宋" w:eastAsia="仿宋" w:cs="仿宋"/>
                <w:sz w:val="24"/>
                <w:szCs w:val="24"/>
              </w:rPr>
            </w:pPr>
            <w:r>
              <w:rPr>
                <w:rFonts w:hint="eastAsia" w:ascii="仿宋" w:hAnsi="仿宋" w:eastAsia="仿宋" w:cs="仿宋"/>
                <w:sz w:val="24"/>
                <w:szCs w:val="24"/>
              </w:rPr>
              <w:t>供应商需要针对本项目设计运维服务团队管理方案，包括但不限于以下方面：</w:t>
            </w:r>
          </w:p>
          <w:p>
            <w:pPr>
              <w:spacing w:line="240" w:lineRule="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服务团队人员充足、配置合理，职责分工明确，并有相关工作经验。</w:t>
            </w:r>
          </w:p>
          <w:p>
            <w:pPr>
              <w:spacing w:line="240"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具有较强本地化服务和策划能力。</w:t>
            </w:r>
          </w:p>
          <w:p>
            <w:pPr>
              <w:spacing w:line="240" w:lineRule="auto"/>
              <w:rPr>
                <w:rFonts w:ascii="仿宋" w:hAnsi="仿宋" w:eastAsia="仿宋" w:cs="仿宋"/>
                <w:b/>
                <w:bCs/>
                <w:sz w:val="24"/>
                <w:szCs w:val="24"/>
              </w:rPr>
            </w:pPr>
            <w:r>
              <w:rPr>
                <w:rFonts w:hint="eastAsia" w:ascii="仿宋" w:hAnsi="仿宋" w:eastAsia="仿宋" w:cs="仿宋"/>
                <w:sz w:val="24"/>
                <w:szCs w:val="24"/>
              </w:rPr>
              <w:t>方案具有较强针对性、科学性、可行性，能够完全满足或优于招标文件要求的，得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分；方案设计比较合理、可行性较高，能够基本实现采购人的采购需求，得 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分；方案设计不够全面，只能部分满足或不能满足采购人的采购需求，得1-2 分；未提供不得分。</w:t>
            </w:r>
          </w:p>
        </w:tc>
        <w:tc>
          <w:tcPr>
            <w:tcW w:w="803"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913" w:type="dxa"/>
            <w:vMerge w:val="continue"/>
            <w:vAlign w:val="center"/>
          </w:tcPr>
          <w:p>
            <w:pPr>
              <w:spacing w:line="240" w:lineRule="auto"/>
              <w:jc w:val="center"/>
              <w:rPr>
                <w:rFonts w:ascii="仿宋" w:hAnsi="仿宋" w:eastAsia="仿宋" w:cs="仿宋"/>
                <w:sz w:val="24"/>
                <w:szCs w:val="24"/>
              </w:rPr>
            </w:pPr>
          </w:p>
        </w:tc>
        <w:tc>
          <w:tcPr>
            <w:tcW w:w="1313" w:type="dxa"/>
            <w:vAlign w:val="center"/>
          </w:tcPr>
          <w:p>
            <w:pPr>
              <w:spacing w:line="240" w:lineRule="auto"/>
              <w:jc w:val="center"/>
              <w:rPr>
                <w:rFonts w:ascii="仿宋" w:hAnsi="仿宋" w:eastAsia="仿宋" w:cs="仿宋"/>
                <w:sz w:val="24"/>
                <w:szCs w:val="24"/>
              </w:rPr>
            </w:pPr>
            <w:r>
              <w:rPr>
                <w:rFonts w:hint="eastAsia" w:ascii="仿宋" w:hAnsi="仿宋" w:eastAsia="仿宋" w:cs="仿宋"/>
                <w:sz w:val="24"/>
                <w:szCs w:val="24"/>
              </w:rPr>
              <w:t>原创策划</w:t>
            </w:r>
          </w:p>
          <w:p>
            <w:pPr>
              <w:spacing w:line="240" w:lineRule="auto"/>
              <w:jc w:val="center"/>
              <w:rPr>
                <w:rFonts w:ascii="仿宋" w:hAnsi="仿宋" w:eastAsia="仿宋" w:cs="仿宋"/>
                <w:sz w:val="24"/>
                <w:szCs w:val="24"/>
              </w:rPr>
            </w:pPr>
            <w:r>
              <w:rPr>
                <w:rFonts w:hint="eastAsia" w:ascii="仿宋" w:hAnsi="仿宋" w:eastAsia="仿宋" w:cs="仿宋"/>
                <w:sz w:val="24"/>
                <w:szCs w:val="24"/>
              </w:rPr>
              <w:t>方案</w:t>
            </w:r>
          </w:p>
        </w:tc>
        <w:tc>
          <w:tcPr>
            <w:tcW w:w="5874" w:type="dxa"/>
            <w:vAlign w:val="center"/>
          </w:tcPr>
          <w:p>
            <w:pPr>
              <w:spacing w:line="240" w:lineRule="auto"/>
              <w:rPr>
                <w:rFonts w:ascii="仿宋" w:hAnsi="仿宋" w:eastAsia="仿宋" w:cs="仿宋"/>
                <w:sz w:val="24"/>
                <w:szCs w:val="24"/>
              </w:rPr>
            </w:pPr>
            <w:r>
              <w:rPr>
                <w:rFonts w:hint="eastAsia" w:ascii="仿宋" w:hAnsi="仿宋" w:eastAsia="仿宋" w:cs="仿宋"/>
                <w:sz w:val="24"/>
                <w:szCs w:val="24"/>
              </w:rPr>
              <w:t>供应商需要针对本项目设计原创策划方案，包括但不限于以下方面：</w:t>
            </w:r>
          </w:p>
          <w:p>
            <w:pPr>
              <w:spacing w:line="240" w:lineRule="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具有较强的内容原创能力，根据工作需要，组织开展原创策划，并提供实施保障。</w:t>
            </w:r>
          </w:p>
          <w:p>
            <w:pPr>
              <w:spacing w:line="240"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具有较强的新媒体产品策划和制作能力，包括图解、H5、海报和音视频等，通过各种形式丰富发布内容。</w:t>
            </w:r>
          </w:p>
          <w:p>
            <w:pPr>
              <w:spacing w:line="240" w:lineRule="auto"/>
              <w:rPr>
                <w:rFonts w:ascii="仿宋" w:hAnsi="仿宋" w:eastAsia="仿宋" w:cs="仿宋"/>
                <w:sz w:val="24"/>
                <w:szCs w:val="24"/>
              </w:rPr>
            </w:pPr>
            <w:r>
              <w:rPr>
                <w:rFonts w:hint="eastAsia" w:ascii="仿宋" w:hAnsi="仿宋" w:eastAsia="仿宋" w:cs="仿宋"/>
                <w:sz w:val="24"/>
                <w:szCs w:val="24"/>
              </w:rPr>
              <w:t>方案具有较强针对性、科学性、可行性，且能够完全满足或优于招标文件要求的，得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分；方案设计比较合理、可行性较高，能够基本实现采购人的采购需求，得 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分；方案设计不够全面，只能部分满足或不能满足采购人的采购需求，得 1</w:t>
            </w:r>
            <w:r>
              <w:rPr>
                <w:rFonts w:hint="eastAsia" w:ascii="仿宋" w:hAnsi="仿宋" w:eastAsia="仿宋" w:cs="仿宋"/>
                <w:sz w:val="24"/>
                <w:szCs w:val="24"/>
                <w:lang w:eastAsia="zh-CN"/>
              </w:rPr>
              <w:t>—</w:t>
            </w:r>
            <w:r>
              <w:rPr>
                <w:rFonts w:hint="eastAsia" w:ascii="仿宋" w:hAnsi="仿宋" w:eastAsia="仿宋" w:cs="仿宋"/>
                <w:sz w:val="24"/>
                <w:szCs w:val="24"/>
              </w:rPr>
              <w:t>2分；未提供不得分。</w:t>
            </w:r>
          </w:p>
        </w:tc>
        <w:tc>
          <w:tcPr>
            <w:tcW w:w="803"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913" w:type="dxa"/>
            <w:vMerge w:val="continue"/>
            <w:vAlign w:val="center"/>
          </w:tcPr>
          <w:p>
            <w:pPr>
              <w:spacing w:line="240" w:lineRule="auto"/>
              <w:jc w:val="center"/>
              <w:rPr>
                <w:rFonts w:ascii="仿宋" w:hAnsi="仿宋" w:eastAsia="仿宋" w:cs="仿宋"/>
                <w:sz w:val="24"/>
                <w:szCs w:val="24"/>
              </w:rPr>
            </w:pPr>
          </w:p>
        </w:tc>
        <w:tc>
          <w:tcPr>
            <w:tcW w:w="1313" w:type="dxa"/>
            <w:vAlign w:val="center"/>
          </w:tcPr>
          <w:p>
            <w:pPr>
              <w:spacing w:line="240" w:lineRule="auto"/>
              <w:jc w:val="center"/>
              <w:rPr>
                <w:rFonts w:ascii="仿宋" w:hAnsi="仿宋" w:eastAsia="仿宋" w:cs="仿宋"/>
                <w:sz w:val="24"/>
                <w:szCs w:val="24"/>
              </w:rPr>
            </w:pPr>
            <w:r>
              <w:rPr>
                <w:rFonts w:hint="eastAsia" w:ascii="仿宋" w:hAnsi="仿宋" w:eastAsia="仿宋" w:cs="仿宋"/>
                <w:sz w:val="24"/>
                <w:szCs w:val="24"/>
              </w:rPr>
              <w:t>平台</w:t>
            </w:r>
          </w:p>
          <w:p>
            <w:pPr>
              <w:spacing w:line="240" w:lineRule="auto"/>
              <w:jc w:val="center"/>
              <w:rPr>
                <w:rFonts w:ascii="仿宋" w:hAnsi="仿宋" w:eastAsia="仿宋" w:cs="仿宋"/>
                <w:sz w:val="24"/>
                <w:szCs w:val="24"/>
              </w:rPr>
            </w:pPr>
            <w:r>
              <w:rPr>
                <w:rFonts w:hint="eastAsia" w:ascii="仿宋" w:hAnsi="仿宋" w:eastAsia="仿宋" w:cs="仿宋"/>
                <w:sz w:val="24"/>
                <w:szCs w:val="24"/>
              </w:rPr>
              <w:t>支持</w:t>
            </w:r>
          </w:p>
        </w:tc>
        <w:tc>
          <w:tcPr>
            <w:tcW w:w="5874" w:type="dxa"/>
            <w:vAlign w:val="center"/>
          </w:tcPr>
          <w:p>
            <w:pPr>
              <w:spacing w:line="240" w:lineRule="auto"/>
              <w:rPr>
                <w:rFonts w:ascii="仿宋" w:hAnsi="仿宋" w:eastAsia="仿宋" w:cs="仿宋"/>
                <w:sz w:val="24"/>
                <w:szCs w:val="24"/>
              </w:rPr>
            </w:pPr>
            <w:r>
              <w:rPr>
                <w:rFonts w:hint="eastAsia" w:ascii="仿宋" w:hAnsi="仿宋" w:eastAsia="仿宋" w:cs="仿宋"/>
                <w:sz w:val="24"/>
                <w:szCs w:val="24"/>
              </w:rPr>
              <w:t>供应商具有权威宣传平台</w:t>
            </w:r>
            <w:r>
              <w:rPr>
                <w:rFonts w:hint="eastAsia" w:ascii="仿宋" w:hAnsi="仿宋" w:eastAsia="仿宋" w:cs="仿宋"/>
                <w:sz w:val="24"/>
                <w:szCs w:val="24"/>
                <w:lang w:eastAsia="zh-CN"/>
              </w:rPr>
              <w:t>，</w:t>
            </w:r>
            <w:r>
              <w:rPr>
                <w:rFonts w:hint="eastAsia" w:ascii="仿宋" w:hAnsi="仿宋" w:eastAsia="仿宋" w:cs="仿宋"/>
                <w:sz w:val="24"/>
                <w:szCs w:val="24"/>
              </w:rPr>
              <w:t>能够对采购人新媒体内容在自有媒体平台宣传推广，最高得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spacing w:line="240" w:lineRule="auto"/>
              <w:rPr>
                <w:rFonts w:ascii="仿宋" w:hAnsi="仿宋" w:eastAsia="仿宋" w:cs="仿宋"/>
                <w:sz w:val="24"/>
                <w:szCs w:val="24"/>
              </w:rPr>
            </w:pPr>
            <w:r>
              <w:rPr>
                <w:rFonts w:hint="eastAsia" w:ascii="仿宋" w:hAnsi="仿宋" w:eastAsia="仿宋" w:cs="仿宋"/>
                <w:sz w:val="24"/>
                <w:szCs w:val="24"/>
              </w:rPr>
              <w:t>1.具有媒体网站的得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spacing w:line="240" w:lineRule="auto"/>
              <w:rPr>
                <w:rFonts w:ascii="仿宋" w:hAnsi="仿宋" w:eastAsia="仿宋" w:cs="仿宋"/>
                <w:sz w:val="24"/>
                <w:szCs w:val="24"/>
              </w:rPr>
            </w:pPr>
            <w:r>
              <w:rPr>
                <w:rFonts w:hint="eastAsia" w:ascii="仿宋" w:hAnsi="仿宋" w:eastAsia="仿宋" w:cs="仿宋"/>
                <w:sz w:val="24"/>
                <w:szCs w:val="24"/>
              </w:rPr>
              <w:t>2.具有新闻客户端的得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spacing w:line="240" w:lineRule="auto"/>
              <w:rPr>
                <w:rFonts w:ascii="仿宋" w:hAnsi="仿宋" w:eastAsia="仿宋" w:cs="仿宋"/>
                <w:sz w:val="24"/>
                <w:szCs w:val="24"/>
              </w:rPr>
            </w:pPr>
            <w:r>
              <w:rPr>
                <w:rFonts w:hint="eastAsia" w:ascii="仿宋" w:hAnsi="仿宋" w:eastAsia="仿宋" w:cs="仿宋"/>
                <w:sz w:val="24"/>
                <w:szCs w:val="24"/>
              </w:rPr>
              <w:t>3.具有手机报平台的得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spacing w:line="240" w:lineRule="auto"/>
              <w:rPr>
                <w:rFonts w:ascii="仿宋" w:hAnsi="仿宋" w:eastAsia="仿宋" w:cs="仿宋"/>
                <w:sz w:val="24"/>
                <w:szCs w:val="24"/>
              </w:rPr>
            </w:pPr>
            <w:r>
              <w:rPr>
                <w:rFonts w:hint="eastAsia" w:ascii="仿宋" w:hAnsi="仿宋" w:eastAsia="仿宋" w:cs="仿宋"/>
                <w:sz w:val="24"/>
                <w:szCs w:val="24"/>
              </w:rPr>
              <w:t>注：响应文件中提供网站、客户端、平台截图（须体现供应商名称），未提供不得分。未能体现内容（如供应商名称）另附相关证明材料。</w:t>
            </w:r>
          </w:p>
        </w:tc>
        <w:tc>
          <w:tcPr>
            <w:tcW w:w="803" w:type="dxa"/>
            <w:vAlign w:val="center"/>
          </w:tcPr>
          <w:p>
            <w:pPr>
              <w:tabs>
                <w:tab w:val="left" w:pos="494"/>
              </w:tabs>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913" w:type="dxa"/>
            <w:vMerge w:val="continue"/>
            <w:vAlign w:val="center"/>
          </w:tcPr>
          <w:p>
            <w:pPr>
              <w:spacing w:line="240" w:lineRule="auto"/>
              <w:jc w:val="center"/>
              <w:rPr>
                <w:rFonts w:ascii="仿宋" w:hAnsi="仿宋" w:eastAsia="仿宋" w:cs="仿宋"/>
                <w:sz w:val="24"/>
                <w:szCs w:val="24"/>
              </w:rPr>
            </w:pPr>
          </w:p>
        </w:tc>
        <w:tc>
          <w:tcPr>
            <w:tcW w:w="1313" w:type="dxa"/>
            <w:vAlign w:val="center"/>
          </w:tcPr>
          <w:p>
            <w:pPr>
              <w:spacing w:line="240" w:lineRule="auto"/>
              <w:jc w:val="center"/>
              <w:rPr>
                <w:rFonts w:ascii="仿宋" w:hAnsi="仿宋" w:eastAsia="仿宋" w:cs="仿宋"/>
                <w:sz w:val="24"/>
                <w:szCs w:val="24"/>
              </w:rPr>
            </w:pPr>
            <w:r>
              <w:rPr>
                <w:rFonts w:hint="eastAsia" w:ascii="仿宋" w:hAnsi="仿宋" w:eastAsia="仿宋" w:cs="仿宋"/>
                <w:sz w:val="24"/>
                <w:szCs w:val="24"/>
              </w:rPr>
              <w:t>资质文件</w:t>
            </w:r>
          </w:p>
        </w:tc>
        <w:tc>
          <w:tcPr>
            <w:tcW w:w="5874" w:type="dxa"/>
            <w:vAlign w:val="center"/>
          </w:tcPr>
          <w:p>
            <w:pPr>
              <w:spacing w:line="240" w:lineRule="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供应商为国家网信办公布的可供网站转载新闻的新闻单位的，得</w:t>
            </w:r>
            <w:r>
              <w:rPr>
                <w:rFonts w:hint="eastAsia" w:ascii="仿宋" w:hAnsi="仿宋" w:eastAsia="仿宋" w:cs="仿宋"/>
                <w:sz w:val="24"/>
                <w:szCs w:val="24"/>
                <w:lang w:val="en-US" w:eastAsia="zh-CN"/>
              </w:rPr>
              <w:t>2</w:t>
            </w:r>
            <w:r>
              <w:rPr>
                <w:rFonts w:hint="eastAsia" w:ascii="仿宋" w:hAnsi="仿宋" w:eastAsia="仿宋" w:cs="仿宋"/>
                <w:sz w:val="24"/>
                <w:szCs w:val="24"/>
              </w:rPr>
              <w:t>分。须提供名单截图，能体现供应商名称。</w:t>
            </w:r>
          </w:p>
          <w:p>
            <w:pPr>
              <w:spacing w:line="240"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供应商具有互联网新闻信息服务许可证的，得</w:t>
            </w:r>
            <w:r>
              <w:rPr>
                <w:rFonts w:hint="eastAsia" w:ascii="仿宋" w:hAnsi="仿宋" w:eastAsia="仿宋" w:cs="仿宋"/>
                <w:sz w:val="24"/>
                <w:szCs w:val="24"/>
                <w:lang w:val="en-US" w:eastAsia="zh-CN"/>
              </w:rPr>
              <w:t>2</w:t>
            </w:r>
            <w:r>
              <w:rPr>
                <w:rFonts w:hint="eastAsia" w:ascii="仿宋" w:hAnsi="仿宋" w:eastAsia="仿宋" w:cs="仿宋"/>
                <w:sz w:val="24"/>
                <w:szCs w:val="24"/>
              </w:rPr>
              <w:t>分。须提供证书扫描件或影印件。</w:t>
            </w:r>
          </w:p>
          <w:p>
            <w:pPr>
              <w:spacing w:line="240" w:lineRule="auto"/>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供应商具有信息网络传播视听节目许可证的，得</w:t>
            </w:r>
            <w:r>
              <w:rPr>
                <w:rFonts w:hint="eastAsia" w:ascii="仿宋" w:hAnsi="仿宋" w:eastAsia="仿宋" w:cs="仿宋"/>
                <w:sz w:val="24"/>
                <w:szCs w:val="24"/>
                <w:lang w:val="en-US" w:eastAsia="zh-CN"/>
              </w:rPr>
              <w:t>2</w:t>
            </w:r>
            <w:r>
              <w:rPr>
                <w:rFonts w:hint="eastAsia" w:ascii="仿宋" w:hAnsi="仿宋" w:eastAsia="仿宋" w:cs="仿宋"/>
                <w:sz w:val="24"/>
                <w:szCs w:val="24"/>
              </w:rPr>
              <w:t>分，未提供不得分。须提供证书扫描件或影印件。</w:t>
            </w:r>
          </w:p>
          <w:p>
            <w:pPr>
              <w:spacing w:line="240" w:lineRule="auto"/>
              <w:rPr>
                <w:rFonts w:eastAsia="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供应商为政府或企事业单位提供新媒体内容服务，获得业主单位表彰的，每提供1个证明材料得1分，满分3分。须提供加盖业主单位公章的扫描件或影印件。</w:t>
            </w:r>
          </w:p>
        </w:tc>
        <w:tc>
          <w:tcPr>
            <w:tcW w:w="803" w:type="dxa"/>
            <w:vAlign w:val="center"/>
          </w:tcPr>
          <w:p>
            <w:pPr>
              <w:spacing w:line="240" w:lineRule="auto"/>
              <w:jc w:val="both"/>
              <w:rPr>
                <w:rFonts w:ascii="仿宋" w:hAnsi="仿宋" w:eastAsia="仿宋" w:cs="仿宋"/>
                <w:sz w:val="24"/>
                <w:szCs w:val="24"/>
              </w:rPr>
            </w:pP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913" w:type="dxa"/>
            <w:vMerge w:val="continue"/>
            <w:vAlign w:val="center"/>
          </w:tcPr>
          <w:p>
            <w:pPr>
              <w:spacing w:line="240" w:lineRule="auto"/>
              <w:jc w:val="center"/>
              <w:rPr>
                <w:rFonts w:ascii="仿宋" w:hAnsi="仿宋" w:eastAsia="仿宋" w:cs="仿宋"/>
                <w:sz w:val="24"/>
                <w:szCs w:val="24"/>
              </w:rPr>
            </w:pPr>
          </w:p>
        </w:tc>
        <w:tc>
          <w:tcPr>
            <w:tcW w:w="1313" w:type="dxa"/>
            <w:vAlign w:val="center"/>
          </w:tcPr>
          <w:p>
            <w:pPr>
              <w:spacing w:line="240" w:lineRule="auto"/>
              <w:jc w:val="center"/>
              <w:rPr>
                <w:rFonts w:ascii="仿宋" w:hAnsi="仿宋" w:eastAsia="仿宋" w:cs="仿宋"/>
                <w:sz w:val="24"/>
                <w:szCs w:val="24"/>
              </w:rPr>
            </w:pPr>
          </w:p>
          <w:p>
            <w:pPr>
              <w:spacing w:line="240" w:lineRule="auto"/>
              <w:jc w:val="center"/>
              <w:rPr>
                <w:rFonts w:ascii="仿宋" w:hAnsi="仿宋" w:eastAsia="仿宋" w:cs="仿宋"/>
                <w:sz w:val="24"/>
                <w:szCs w:val="24"/>
              </w:rPr>
            </w:pPr>
            <w:r>
              <w:rPr>
                <w:rFonts w:hint="eastAsia" w:ascii="仿宋" w:hAnsi="仿宋" w:eastAsia="仿宋" w:cs="仿宋"/>
                <w:sz w:val="24"/>
                <w:szCs w:val="24"/>
              </w:rPr>
              <w:t>业绩证明</w:t>
            </w:r>
          </w:p>
        </w:tc>
        <w:tc>
          <w:tcPr>
            <w:tcW w:w="5874" w:type="dxa"/>
            <w:vAlign w:val="center"/>
          </w:tcPr>
          <w:p>
            <w:pPr>
              <w:spacing w:line="240" w:lineRule="auto"/>
              <w:rPr>
                <w:rFonts w:ascii="仿宋" w:hAnsi="仿宋" w:eastAsia="仿宋" w:cs="仿宋"/>
                <w:sz w:val="24"/>
                <w:szCs w:val="24"/>
              </w:rPr>
            </w:pPr>
            <w:r>
              <w:rPr>
                <w:rFonts w:hint="eastAsia" w:ascii="仿宋" w:hAnsi="仿宋" w:eastAsia="仿宋" w:cs="仿宋"/>
                <w:sz w:val="24"/>
                <w:szCs w:val="24"/>
              </w:rPr>
              <w:t>自 2020年1月1日以来，供应商具有为政府或企事业单位提供新媒体运维或策划推广类相关业绩</w:t>
            </w:r>
            <w:r>
              <w:rPr>
                <w:rFonts w:hint="eastAsia" w:ascii="仿宋" w:hAnsi="仿宋" w:eastAsia="仿宋" w:cs="仿宋"/>
                <w:sz w:val="24"/>
                <w:szCs w:val="24"/>
                <w:lang w:eastAsia="zh-CN"/>
              </w:rPr>
              <w:t>，</w:t>
            </w:r>
            <w:r>
              <w:rPr>
                <w:rFonts w:hint="eastAsia" w:ascii="仿宋" w:hAnsi="仿宋" w:eastAsia="仿宋" w:cs="仿宋"/>
                <w:sz w:val="24"/>
                <w:szCs w:val="24"/>
              </w:rPr>
              <w:t>每提供一个得</w:t>
            </w:r>
            <w:r>
              <w:rPr>
                <w:rFonts w:hint="eastAsia" w:ascii="仿宋" w:hAnsi="仿宋" w:eastAsia="仿宋" w:cs="仿宋"/>
                <w:sz w:val="24"/>
                <w:szCs w:val="24"/>
                <w:lang w:val="en-US" w:eastAsia="zh-CN"/>
              </w:rPr>
              <w:t>3</w:t>
            </w:r>
            <w:r>
              <w:rPr>
                <w:rFonts w:hint="eastAsia" w:ascii="仿宋" w:hAnsi="仿宋" w:eastAsia="仿宋" w:cs="仿宋"/>
                <w:sz w:val="24"/>
                <w:szCs w:val="24"/>
              </w:rPr>
              <w:t>分，本小项满分为</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spacing w:line="240" w:lineRule="auto"/>
              <w:rPr>
                <w:rFonts w:ascii="仿宋" w:hAnsi="仿宋" w:eastAsia="仿宋" w:cs="仿宋"/>
                <w:sz w:val="24"/>
                <w:szCs w:val="24"/>
              </w:rPr>
            </w:pPr>
            <w:r>
              <w:rPr>
                <w:rFonts w:hint="eastAsia" w:ascii="仿宋" w:hAnsi="仿宋" w:eastAsia="仿宋" w:cs="仿宋"/>
                <w:sz w:val="24"/>
                <w:szCs w:val="24"/>
              </w:rPr>
              <w:t>注：该项必须为履约已完成的业绩，响应文件中须提供业绩合同扫描件，未提供或提供不全的不得分。</w:t>
            </w:r>
          </w:p>
        </w:tc>
        <w:tc>
          <w:tcPr>
            <w:tcW w:w="803" w:type="dxa"/>
            <w:vAlign w:val="center"/>
          </w:tcPr>
          <w:p>
            <w:pPr>
              <w:spacing w:line="240" w:lineRule="auto"/>
              <w:rPr>
                <w:rFonts w:ascii="仿宋" w:hAnsi="仿宋" w:eastAsia="仿宋" w:cs="仿宋"/>
                <w:sz w:val="24"/>
                <w:szCs w:val="24"/>
              </w:rPr>
            </w:pPr>
          </w:p>
          <w:p>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rPr>
              <w:t xml:space="preserve"> 0-</w:t>
            </w:r>
            <w:r>
              <w:rPr>
                <w:rFonts w:hint="eastAsia" w:ascii="仿宋" w:hAnsi="仿宋" w:eastAsia="仿宋" w:cs="仿宋"/>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913" w:type="dxa"/>
            <w:vMerge w:val="continue"/>
            <w:vAlign w:val="center"/>
          </w:tcPr>
          <w:p>
            <w:pPr>
              <w:spacing w:line="240" w:lineRule="auto"/>
              <w:jc w:val="center"/>
              <w:rPr>
                <w:rFonts w:ascii="仿宋" w:hAnsi="仿宋" w:eastAsia="仿宋" w:cs="仿宋"/>
                <w:sz w:val="24"/>
                <w:szCs w:val="24"/>
              </w:rPr>
            </w:pPr>
          </w:p>
        </w:tc>
        <w:tc>
          <w:tcPr>
            <w:tcW w:w="1313" w:type="dxa"/>
            <w:vAlign w:val="center"/>
          </w:tcPr>
          <w:p>
            <w:pPr>
              <w:spacing w:line="240" w:lineRule="auto"/>
              <w:jc w:val="center"/>
              <w:rPr>
                <w:rFonts w:ascii="仿宋" w:hAnsi="仿宋" w:eastAsia="仿宋" w:cs="仿宋"/>
                <w:sz w:val="24"/>
                <w:szCs w:val="24"/>
              </w:rPr>
            </w:pPr>
            <w:r>
              <w:rPr>
                <w:rFonts w:hint="eastAsia" w:ascii="仿宋" w:hAnsi="仿宋" w:eastAsia="仿宋" w:cs="仿宋"/>
                <w:sz w:val="24"/>
                <w:szCs w:val="24"/>
              </w:rPr>
              <w:t>人员配备</w:t>
            </w:r>
          </w:p>
        </w:tc>
        <w:tc>
          <w:tcPr>
            <w:tcW w:w="5874" w:type="dxa"/>
            <w:vAlign w:val="center"/>
          </w:tcPr>
          <w:p>
            <w:pPr>
              <w:spacing w:line="240" w:lineRule="auto"/>
              <w:rPr>
                <w:rFonts w:ascii="仿宋" w:hAnsi="仿宋" w:eastAsia="仿宋" w:cs="仿宋"/>
                <w:sz w:val="24"/>
                <w:szCs w:val="24"/>
              </w:rPr>
            </w:pPr>
            <w:r>
              <w:rPr>
                <w:rFonts w:hint="eastAsia" w:ascii="仿宋" w:hAnsi="仿宋" w:eastAsia="仿宋" w:cs="仿宋"/>
                <w:sz w:val="24"/>
                <w:szCs w:val="24"/>
              </w:rPr>
              <w:t>供应商承诺为本项目配备不少于6人的专业服务团队，人员配备满且岗位合理、分工明确的，得</w:t>
            </w:r>
            <w:r>
              <w:rPr>
                <w:rFonts w:hint="eastAsia" w:ascii="仿宋" w:hAnsi="仿宋" w:eastAsia="仿宋" w:cs="仿宋"/>
                <w:sz w:val="24"/>
                <w:szCs w:val="24"/>
                <w:lang w:val="en-US" w:eastAsia="zh-CN"/>
              </w:rPr>
              <w:t>3</w:t>
            </w:r>
            <w:r>
              <w:rPr>
                <w:rFonts w:hint="eastAsia" w:ascii="仿宋" w:hAnsi="仿宋" w:eastAsia="仿宋" w:cs="仿宋"/>
                <w:sz w:val="24"/>
                <w:szCs w:val="24"/>
              </w:rPr>
              <w:t>分。少1人，扣 0.5分，扣完为止。响应文件中须提供人员名单、岗位、工作经验及资质等信息，未提供的不得分。</w:t>
            </w:r>
          </w:p>
          <w:p>
            <w:pPr>
              <w:spacing w:line="240" w:lineRule="auto"/>
              <w:rPr>
                <w:rFonts w:hint="eastAsia" w:ascii="仿宋" w:hAnsi="仿宋" w:eastAsia="仿宋" w:cs="仿宋"/>
                <w:sz w:val="24"/>
                <w:szCs w:val="24"/>
              </w:rPr>
            </w:pPr>
            <w:r>
              <w:rPr>
                <w:rFonts w:hint="eastAsia" w:ascii="仿宋" w:hAnsi="仿宋" w:eastAsia="仿宋" w:cs="仿宋"/>
                <w:sz w:val="24"/>
                <w:szCs w:val="24"/>
              </w:rPr>
              <w:t>投标人配备的人员中：</w:t>
            </w:r>
          </w:p>
          <w:p>
            <w:pPr>
              <w:spacing w:line="24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具备省级及以上新闻出版广电部门颁发的新闻记者证的，每提供1人得</w:t>
            </w:r>
            <w:r>
              <w:rPr>
                <w:rFonts w:hint="eastAsia" w:ascii="仿宋" w:hAnsi="仿宋" w:eastAsia="仿宋" w:cs="仿宋"/>
                <w:sz w:val="24"/>
                <w:szCs w:val="24"/>
                <w:lang w:val="en-US" w:eastAsia="zh-CN"/>
              </w:rPr>
              <w:t>1</w:t>
            </w:r>
            <w:r>
              <w:rPr>
                <w:rFonts w:hint="eastAsia" w:ascii="仿宋" w:hAnsi="仿宋" w:eastAsia="仿宋" w:cs="仿宋"/>
                <w:sz w:val="24"/>
                <w:szCs w:val="24"/>
              </w:rPr>
              <w:t>分，最高得</w:t>
            </w:r>
            <w:r>
              <w:rPr>
                <w:rFonts w:hint="eastAsia" w:ascii="仿宋" w:hAnsi="仿宋" w:eastAsia="仿宋" w:cs="仿宋"/>
                <w:sz w:val="24"/>
                <w:szCs w:val="24"/>
                <w:lang w:val="en-US" w:eastAsia="zh-CN"/>
              </w:rPr>
              <w:t>3</w:t>
            </w:r>
            <w:r>
              <w:rPr>
                <w:rFonts w:hint="eastAsia" w:ascii="仿宋" w:hAnsi="仿宋" w:eastAsia="仿宋" w:cs="仿宋"/>
                <w:sz w:val="24"/>
                <w:szCs w:val="24"/>
              </w:rPr>
              <w:t>分。响应文件中须提供证书扫描件或影印件。</w:t>
            </w:r>
          </w:p>
          <w:p>
            <w:pPr>
              <w:spacing w:line="240" w:lineRule="auto"/>
              <w:rPr>
                <w:rFonts w:ascii="仿宋" w:hAnsi="仿宋" w:eastAsia="仿宋" w:cs="仿宋"/>
                <w:kern w:val="2"/>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自 20</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年1月1日以来（以获奖时间为准），人员中有制作的新媒体产品，获得省级及以上行政主管部门颁发的奖项（或荣誉）的，每提供1个，得2分，最高得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分。响应文件中提供获奖证书、颁奖单位颁奖文件、网上公示截图（具有其中之一即可）等证明材料</w:t>
            </w:r>
            <w:r>
              <w:rPr>
                <w:rFonts w:hint="eastAsia" w:ascii="仿宋" w:hAnsi="仿宋" w:eastAsia="仿宋" w:cs="仿宋"/>
                <w:kern w:val="2"/>
                <w:sz w:val="24"/>
                <w:szCs w:val="24"/>
                <w:lang w:eastAsia="zh-CN"/>
              </w:rPr>
              <w:t xml:space="preserve">，以上材料扫描件须能体现制作人员姓名和新媒体作品名称。 </w:t>
            </w:r>
          </w:p>
          <w:p>
            <w:pPr>
              <w:spacing w:line="240" w:lineRule="auto"/>
              <w:rPr>
                <w:rFonts w:ascii="仿宋" w:hAnsi="仿宋" w:eastAsia="仿宋" w:cs="仿宋"/>
                <w:sz w:val="24"/>
                <w:szCs w:val="24"/>
              </w:rPr>
            </w:pPr>
            <w:r>
              <w:rPr>
                <w:rFonts w:hint="eastAsia" w:ascii="仿宋" w:hAnsi="仿宋" w:eastAsia="仿宋" w:cs="仿宋"/>
                <w:sz w:val="24"/>
                <w:szCs w:val="24"/>
              </w:rPr>
              <w:t>注：响应文件中需提供供应商为以上人员缴纳的近6个月内（其中任意1个月）的社保证明材料。</w:t>
            </w:r>
          </w:p>
        </w:tc>
        <w:tc>
          <w:tcPr>
            <w:tcW w:w="803"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0-1</w:t>
            </w: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913" w:type="dxa"/>
            <w:vAlign w:val="center"/>
          </w:tcPr>
          <w:p>
            <w:pPr>
              <w:spacing w:line="240" w:lineRule="auto"/>
              <w:jc w:val="center"/>
              <w:rPr>
                <w:rFonts w:ascii="仿宋" w:hAnsi="仿宋" w:eastAsia="仿宋" w:cs="仿宋"/>
                <w:sz w:val="24"/>
                <w:szCs w:val="24"/>
              </w:rPr>
            </w:pPr>
            <w:r>
              <w:rPr>
                <w:rFonts w:hint="eastAsia" w:ascii="仿宋" w:hAnsi="仿宋" w:eastAsia="仿宋" w:cs="仿宋"/>
                <w:sz w:val="24"/>
                <w:szCs w:val="24"/>
              </w:rPr>
              <w:t>价格分</w:t>
            </w:r>
          </w:p>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0分</w:t>
            </w:r>
            <w:r>
              <w:rPr>
                <w:rFonts w:hint="eastAsia" w:ascii="仿宋" w:hAnsi="仿宋" w:eastAsia="仿宋" w:cs="仿宋"/>
                <w:sz w:val="24"/>
                <w:szCs w:val="24"/>
                <w:lang w:eastAsia="zh-CN"/>
              </w:rPr>
              <w:t>）</w:t>
            </w:r>
          </w:p>
        </w:tc>
        <w:tc>
          <w:tcPr>
            <w:tcW w:w="7187" w:type="dxa"/>
            <w:gridSpan w:val="2"/>
            <w:vAlign w:val="center"/>
          </w:tcPr>
          <w:p>
            <w:pPr>
              <w:spacing w:line="240" w:lineRule="auto"/>
              <w:rPr>
                <w:rFonts w:ascii="仿宋" w:hAnsi="仿宋" w:eastAsia="仿宋" w:cs="仿宋"/>
                <w:sz w:val="24"/>
                <w:szCs w:val="24"/>
              </w:rPr>
            </w:pPr>
            <w:r>
              <w:rPr>
                <w:rFonts w:hint="eastAsia" w:ascii="仿宋" w:hAnsi="仿宋" w:eastAsia="仿宋" w:cs="仿宋"/>
                <w:sz w:val="24"/>
                <w:szCs w:val="24"/>
              </w:rPr>
              <w:t>价格分统一采用低价优先法，即满足招标文件要求且价格最低的</w:t>
            </w:r>
          </w:p>
          <w:p>
            <w:pPr>
              <w:spacing w:line="240" w:lineRule="auto"/>
              <w:rPr>
                <w:rFonts w:ascii="仿宋" w:hAnsi="仿宋" w:eastAsia="仿宋" w:cs="仿宋"/>
                <w:sz w:val="24"/>
                <w:szCs w:val="24"/>
              </w:rPr>
            </w:pPr>
            <w:r>
              <w:rPr>
                <w:rFonts w:hint="eastAsia" w:ascii="仿宋" w:hAnsi="仿宋" w:eastAsia="仿宋" w:cs="仿宋"/>
                <w:sz w:val="24"/>
                <w:szCs w:val="24"/>
              </w:rPr>
              <w:t>最后报价为评标基准价，其价格分为满分</w:t>
            </w:r>
            <w:r>
              <w:rPr>
                <w:rFonts w:hint="eastAsia" w:ascii="仿宋" w:hAnsi="仿宋" w:eastAsia="仿宋" w:cs="仿宋"/>
                <w:sz w:val="24"/>
                <w:szCs w:val="24"/>
                <w:lang w:val="en-US" w:eastAsia="zh-CN"/>
              </w:rPr>
              <w:t>30</w:t>
            </w:r>
            <w:r>
              <w:rPr>
                <w:rFonts w:hint="eastAsia" w:ascii="仿宋" w:hAnsi="仿宋" w:eastAsia="仿宋" w:cs="仿宋"/>
                <w:sz w:val="24"/>
                <w:szCs w:val="24"/>
              </w:rPr>
              <w:t>分。其他供应商的</w:t>
            </w:r>
            <w:r>
              <w:rPr>
                <w:rFonts w:hint="eastAsia" w:ascii="仿宋" w:hAnsi="仿宋" w:eastAsia="仿宋" w:cs="仿宋"/>
                <w:sz w:val="24"/>
                <w:szCs w:val="24"/>
                <w:lang w:eastAsia="zh-CN"/>
              </w:rPr>
              <w:t>价</w:t>
            </w:r>
            <w:r>
              <w:rPr>
                <w:rFonts w:hint="eastAsia" w:ascii="仿宋" w:hAnsi="仿宋" w:eastAsia="仿宋" w:cs="仿宋"/>
                <w:sz w:val="24"/>
                <w:szCs w:val="24"/>
              </w:rPr>
              <w:t>格分统一按照下列公式计算：</w:t>
            </w:r>
          </w:p>
          <w:p>
            <w:pPr>
              <w:spacing w:line="240" w:lineRule="auto"/>
              <w:rPr>
                <w:rFonts w:ascii="仿宋" w:hAnsi="仿宋" w:eastAsia="仿宋" w:cs="仿宋"/>
                <w:sz w:val="24"/>
                <w:szCs w:val="24"/>
              </w:rPr>
            </w:pPr>
            <w:r>
              <w:rPr>
                <w:rFonts w:hint="eastAsia" w:ascii="仿宋" w:hAnsi="仿宋" w:eastAsia="仿宋" w:cs="仿宋"/>
                <w:sz w:val="24"/>
                <w:szCs w:val="24"/>
              </w:rPr>
              <w:t>最后报价得分＝（评标基准价/最后报价）×</w:t>
            </w:r>
            <w:r>
              <w:rPr>
                <w:rFonts w:hint="eastAsia" w:ascii="仿宋" w:hAnsi="仿宋" w:eastAsia="仿宋" w:cs="仿宋"/>
                <w:sz w:val="24"/>
                <w:szCs w:val="24"/>
                <w:lang w:val="en-US" w:eastAsia="zh-CN"/>
              </w:rPr>
              <w:t>30</w:t>
            </w:r>
          </w:p>
        </w:tc>
        <w:tc>
          <w:tcPr>
            <w:tcW w:w="803" w:type="dxa"/>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30</w:t>
            </w:r>
          </w:p>
        </w:tc>
      </w:tr>
    </w:tbl>
    <w:p>
      <w:pPr>
        <w:jc w:val="center"/>
        <w:rPr>
          <w:rFonts w:hint="eastAsia"/>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p>
    <w:p>
      <w:pPr>
        <w:jc w:val="both"/>
        <w:rPr>
          <w:rFonts w:hint="eastAsia"/>
          <w:color w:val="000000" w:themeColor="text1"/>
          <w:sz w:val="36"/>
          <w:szCs w:val="36"/>
          <w14:textFill>
            <w14:solidFill>
              <w14:schemeClr w14:val="tx1"/>
            </w14:solidFill>
          </w14:textFill>
        </w:rPr>
      </w:pPr>
    </w:p>
    <w:p>
      <w:pPr>
        <w:numPr>
          <w:ilvl w:val="0"/>
          <w:numId w:val="3"/>
        </w:numPr>
        <w:jc w:val="center"/>
        <w:rPr>
          <w:rFonts w:hint="eastAsia" w:ascii="宋体" w:hAnsi="宋体" w:eastAsia="宋体"/>
          <w:b/>
          <w:bCs/>
          <w:color w:val="000000" w:themeColor="text1"/>
          <w:sz w:val="36"/>
          <w:lang w:val="en-US" w:eastAsia="zh-CN"/>
          <w14:textFill>
            <w14:solidFill>
              <w14:schemeClr w14:val="tx1"/>
            </w14:solidFill>
          </w14:textFill>
        </w:rPr>
      </w:pPr>
      <w:r>
        <w:rPr>
          <w:rFonts w:hint="eastAsia" w:ascii="宋体" w:hAnsi="宋体" w:eastAsia="宋体"/>
          <w:b/>
          <w:bCs/>
          <w:color w:val="000000" w:themeColor="text1"/>
          <w:sz w:val="36"/>
          <w:lang w:val="en-US" w:eastAsia="zh-CN"/>
          <w14:textFill>
            <w14:solidFill>
              <w14:schemeClr w14:val="tx1"/>
            </w14:solidFill>
          </w14:textFill>
        </w:rPr>
        <w:t>附件及附表</w:t>
      </w:r>
    </w:p>
    <w:p>
      <w:pPr>
        <w:pStyle w:val="7"/>
        <w:numPr>
          <w:ilvl w:val="2"/>
          <w:numId w:val="0"/>
        </w:numPr>
        <w:tabs>
          <w:tab w:val="clear" w:pos="720"/>
        </w:tabs>
        <w:ind w:leftChars="0"/>
        <w:rPr>
          <w:rFonts w:hint="eastAsia"/>
          <w:lang w:val="en-US" w:eastAsia="zh-CN"/>
        </w:rPr>
      </w:pPr>
    </w:p>
    <w:p>
      <w:pPr>
        <w:spacing w:line="360" w:lineRule="auto"/>
        <w:jc w:val="left"/>
        <w:outlineLvl w:val="1"/>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附件一</w:t>
      </w:r>
    </w:p>
    <w:p>
      <w:pPr>
        <w:spacing w:line="360" w:lineRule="auto"/>
        <w:jc w:val="center"/>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投 标 报 价 函</w:t>
      </w:r>
    </w:p>
    <w:p>
      <w:pPr>
        <w:spacing w:line="360" w:lineRule="auto"/>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致（招标人）  ：</w:t>
      </w:r>
    </w:p>
    <w:p>
      <w:pPr>
        <w:spacing w:line="360" w:lineRule="auto"/>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1、在收到并研究了贵单位的招标文件后，我们愿意按招标文件规定的内容承担该项目的全部工作，完全响应招标文件有关投标人应承担责任和履行义务的条款。</w:t>
      </w:r>
    </w:p>
    <w:p>
      <w:pPr>
        <w:spacing w:line="360" w:lineRule="auto"/>
        <w:jc w:val="left"/>
        <w:rPr>
          <w:rFonts w:ascii="宋体" w:hAnsi="宋体" w:eastAsia="宋体"/>
          <w:b/>
          <w:i/>
          <w:color w:val="000000" w:themeColor="text1"/>
          <w:sz w:val="24"/>
          <w14:textFill>
            <w14:solidFill>
              <w14:schemeClr w14:val="tx1"/>
            </w14:solidFill>
          </w14:textFill>
        </w:rPr>
      </w:pPr>
      <w:r>
        <w:rPr>
          <w:rFonts w:hint="eastAsia" w:ascii="宋体" w:hAnsi="宋体" w:eastAsia="宋体"/>
          <w:b/>
          <w:i/>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2、按照招标文件、技术规范等有关规定。我方愿意遵照投标文件（含补充文件）的要求承担本合同项目的所有工作。在项目实施过程中，若我方在投标时没有充分考虑其他风险，我方仍按招标文件要求，认真履行该项目的所有任务，不再另增加任何费用。</w:t>
      </w:r>
    </w:p>
    <w:p>
      <w:pPr>
        <w:spacing w:line="360" w:lineRule="auto"/>
        <w:ind w:firstLine="360" w:firstLineChars="15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3、如果贵方接受我方的投标，我方保证根据合同规定安排完成全部任务。</w:t>
      </w:r>
    </w:p>
    <w:p>
      <w:pPr>
        <w:spacing w:line="360" w:lineRule="auto"/>
        <w:ind w:firstLine="360" w:firstLineChars="15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4、如果我方中标，我方保证按招标文件要求和招标人签订合同。</w:t>
      </w:r>
    </w:p>
    <w:p>
      <w:pPr>
        <w:spacing w:line="360" w:lineRule="auto"/>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5、在正式合同订立之前，本投标函同贵方的中标通知书、双方签订的补充和修正文件</w:t>
      </w:r>
      <w:r>
        <w:rPr>
          <w:rFonts w:hint="eastAsia" w:ascii="宋体" w:hAnsi="宋体" w:eastAsia="宋体"/>
          <w:color w:val="000000" w:themeColor="text1"/>
          <w:sz w:val="24"/>
          <w:lang w:eastAsia="zh-CN"/>
          <w14:textFill>
            <w14:solidFill>
              <w14:schemeClr w14:val="tx1"/>
            </w14:solidFill>
          </w14:textFill>
        </w:rPr>
        <w:t>以及其他</w:t>
      </w:r>
      <w:r>
        <w:rPr>
          <w:rFonts w:hint="eastAsia" w:ascii="宋体" w:hAnsi="宋体" w:eastAsia="宋体"/>
          <w:color w:val="000000" w:themeColor="text1"/>
          <w:sz w:val="24"/>
          <w14:textFill>
            <w14:solidFill>
              <w14:schemeClr w14:val="tx1"/>
            </w14:solidFill>
          </w14:textFill>
        </w:rPr>
        <w:t>文件和附件成为约束双方的合同。</w:t>
      </w:r>
    </w:p>
    <w:p>
      <w:pPr>
        <w:spacing w:line="360" w:lineRule="auto"/>
        <w:jc w:val="left"/>
        <w:outlineLvl w:val="1"/>
        <w:rPr>
          <w:rFonts w:hint="default" w:ascii="宋体" w:hAnsi="宋体" w:eastAsia="宋体"/>
          <w:b w:val="0"/>
          <w:bCs w:val="0"/>
          <w:color w:val="000000" w:themeColor="text1"/>
          <w:sz w:val="24"/>
          <w:szCs w:val="24"/>
          <w:lang w:val="en-US" w:eastAsia="zh-CN"/>
          <w14:textFill>
            <w14:solidFill>
              <w14:schemeClr w14:val="tx1"/>
            </w14:solidFill>
          </w14:textFill>
        </w:rPr>
      </w:pPr>
      <w:r>
        <w:rPr>
          <w:rFonts w:hint="eastAsia" w:ascii="宋体" w:hAnsi="宋体" w:eastAsia="宋体"/>
          <w:b w:val="0"/>
          <w:bCs w:val="0"/>
          <w:color w:val="000000" w:themeColor="text1"/>
          <w:sz w:val="24"/>
          <w:szCs w:val="24"/>
          <w:lang w:val="en-US" w:eastAsia="zh-CN"/>
          <w14:textFill>
            <w14:solidFill>
              <w14:schemeClr w14:val="tx1"/>
            </w14:solidFill>
          </w14:textFill>
        </w:rPr>
        <w:t>项目编号：宣传</w:t>
      </w:r>
      <w:r>
        <w:rPr>
          <w:rFonts w:hint="eastAsia" w:ascii="宋体" w:hAnsi="宋体" w:eastAsia="宋体"/>
          <w:b w:val="0"/>
          <w:bCs w:val="0"/>
          <w:color w:val="000000" w:themeColor="text1"/>
          <w:sz w:val="24"/>
          <w:szCs w:val="24"/>
          <w14:textFill>
            <w14:solidFill>
              <w14:schemeClr w14:val="tx1"/>
            </w14:solidFill>
          </w14:textFill>
        </w:rPr>
        <w:t>—20</w:t>
      </w:r>
      <w:r>
        <w:rPr>
          <w:rFonts w:hint="eastAsia" w:ascii="宋体" w:hAnsi="宋体" w:eastAsia="宋体"/>
          <w:b w:val="0"/>
          <w:bCs w:val="0"/>
          <w:color w:val="000000" w:themeColor="text1"/>
          <w:sz w:val="24"/>
          <w:szCs w:val="24"/>
          <w:lang w:val="en-US" w:eastAsia="zh-CN"/>
          <w14:textFill>
            <w14:solidFill>
              <w14:schemeClr w14:val="tx1"/>
            </w14:solidFill>
          </w14:textFill>
        </w:rPr>
        <w:t>23</w:t>
      </w: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lang w:val="en-US" w:eastAsia="zh-CN"/>
          <w14:textFill>
            <w14:solidFill>
              <w14:schemeClr w14:val="tx1"/>
            </w14:solidFill>
          </w14:textFill>
        </w:rPr>
        <w:t>10</w:t>
      </w: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lang w:val="en-US" w:eastAsia="zh-CN"/>
          <w14:textFill>
            <w14:solidFill>
              <w14:schemeClr w14:val="tx1"/>
            </w14:solidFill>
          </w14:textFill>
        </w:rPr>
        <w:t>59</w:t>
      </w:r>
    </w:p>
    <w:tbl>
      <w:tblPr>
        <w:tblStyle w:val="18"/>
        <w:tblpPr w:leftFromText="180" w:rightFromText="180" w:vertAnchor="text" w:horzAnchor="page" w:tblpX="1797" w:tblpY="154"/>
        <w:tblOverlap w:val="never"/>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2481"/>
        <w:gridCol w:w="1769"/>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45"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名称</w:t>
            </w:r>
          </w:p>
        </w:tc>
        <w:tc>
          <w:tcPr>
            <w:tcW w:w="2481"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一次性报价</w:t>
            </w:r>
          </w:p>
        </w:tc>
        <w:tc>
          <w:tcPr>
            <w:tcW w:w="1769"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总报价大写</w:t>
            </w:r>
          </w:p>
        </w:tc>
        <w:tc>
          <w:tcPr>
            <w:tcW w:w="2311" w:type="dxa"/>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2045" w:type="dxa"/>
            <w:vAlign w:val="center"/>
          </w:tcPr>
          <w:p>
            <w:pPr>
              <w:keepNext w:val="0"/>
              <w:keepLines w:val="0"/>
              <w:widowControl/>
              <w:suppressLineNumbers w:val="0"/>
              <w:jc w:val="center"/>
              <w:textAlignment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eastAsia="宋体"/>
                <w:b/>
                <w:color w:val="000000" w:themeColor="text1"/>
                <w:spacing w:val="-20"/>
                <w:sz w:val="24"/>
                <w:szCs w:val="24"/>
                <w:lang w:val="en-US" w:eastAsia="zh-CN"/>
                <w14:textFill>
                  <w14:solidFill>
                    <w14:schemeClr w14:val="tx1"/>
                  </w14:solidFill>
                </w14:textFill>
              </w:rPr>
              <w:t>安徽省第二人民医院新媒体运维服务采购项目</w:t>
            </w:r>
          </w:p>
        </w:tc>
        <w:tc>
          <w:tcPr>
            <w:tcW w:w="2481" w:type="dxa"/>
            <w:vAlign w:val="center"/>
          </w:tcPr>
          <w:p>
            <w:pPr>
              <w:jc w:val="center"/>
              <w:rPr>
                <w:rFonts w:ascii="仿宋" w:hAnsi="仿宋" w:eastAsia="仿宋" w:cstheme="majorEastAsia"/>
                <w:bCs/>
                <w:color w:val="000000" w:themeColor="text1"/>
                <w:sz w:val="24"/>
                <w:szCs w:val="24"/>
                <w14:textFill>
                  <w14:solidFill>
                    <w14:schemeClr w14:val="tx1"/>
                  </w14:solidFill>
                </w14:textFill>
              </w:rPr>
            </w:pPr>
          </w:p>
        </w:tc>
        <w:tc>
          <w:tcPr>
            <w:tcW w:w="1769" w:type="dxa"/>
          </w:tcPr>
          <w:p>
            <w:pPr>
              <w:jc w:val="center"/>
              <w:rPr>
                <w:rFonts w:ascii="仿宋" w:hAnsi="仿宋" w:eastAsia="仿宋" w:cstheme="majorEastAsia"/>
                <w:bCs/>
                <w:color w:val="000000" w:themeColor="text1"/>
                <w:sz w:val="24"/>
                <w:szCs w:val="24"/>
                <w14:textFill>
                  <w14:solidFill>
                    <w14:schemeClr w14:val="tx1"/>
                  </w14:solidFill>
                </w14:textFill>
              </w:rPr>
            </w:pPr>
          </w:p>
        </w:tc>
        <w:tc>
          <w:tcPr>
            <w:tcW w:w="2311" w:type="dxa"/>
          </w:tcPr>
          <w:p>
            <w:pPr>
              <w:jc w:val="center"/>
              <w:rPr>
                <w:rFonts w:ascii="仿宋" w:hAnsi="仿宋" w:eastAsia="仿宋" w:cstheme="majorEastAsia"/>
                <w:bCs/>
                <w:color w:val="000000" w:themeColor="text1"/>
                <w:sz w:val="24"/>
                <w:szCs w:val="24"/>
                <w14:textFill>
                  <w14:solidFill>
                    <w14:schemeClr w14:val="tx1"/>
                  </w14:solidFill>
                </w14:textFill>
              </w:rPr>
            </w:pPr>
          </w:p>
        </w:tc>
      </w:tr>
    </w:tbl>
    <w:p>
      <w:pPr>
        <w:pStyle w:val="11"/>
        <w:rPr>
          <w:rFonts w:hint="default"/>
          <w:color w:val="000000" w:themeColor="text1"/>
          <w:lang w:val="en-US" w:eastAsia="zh-CN"/>
          <w14:textFill>
            <w14:solidFill>
              <w14:schemeClr w14:val="tx1"/>
            </w14:solidFill>
          </w14:textFill>
        </w:rPr>
      </w:pPr>
    </w:p>
    <w:p>
      <w:pPr>
        <w:pStyle w:val="15"/>
        <w:ind w:left="0" w:leftChars="0" w:firstLine="0" w:firstLineChars="0"/>
        <w:rPr>
          <w:rFonts w:hint="default"/>
          <w:color w:val="000000" w:themeColor="text1"/>
          <w:lang w:val="en-US"/>
          <w14:textFill>
            <w14:solidFill>
              <w14:schemeClr w14:val="tx1"/>
            </w14:solidFill>
          </w14:textFill>
        </w:rPr>
      </w:pPr>
    </w:p>
    <w:p>
      <w:pPr>
        <w:spacing w:line="360" w:lineRule="auto"/>
        <w:rPr>
          <w:rFonts w:hint="eastAsia" w:eastAsia="宋体"/>
          <w:color w:val="000000" w:themeColor="text1"/>
          <w:sz w:val="24"/>
          <w14:textFill>
            <w14:solidFill>
              <w14:schemeClr w14:val="tx1"/>
            </w14:solidFill>
          </w14:textFill>
        </w:rPr>
      </w:pPr>
    </w:p>
    <w:p>
      <w:pPr>
        <w:spacing w:line="360" w:lineRule="auto"/>
        <w:rPr>
          <w:rFonts w:hint="eastAsia" w:eastAsia="宋体"/>
          <w:color w:val="000000" w:themeColor="text1"/>
          <w:sz w:val="24"/>
          <w14:textFill>
            <w14:solidFill>
              <w14:schemeClr w14:val="tx1"/>
            </w14:solidFill>
          </w14:textFill>
        </w:rPr>
      </w:pPr>
    </w:p>
    <w:p>
      <w:pPr>
        <w:spacing w:line="360" w:lineRule="auto"/>
        <w:rPr>
          <w:rFonts w:hint="eastAsia" w:eastAsia="宋体"/>
          <w:color w:val="000000" w:themeColor="text1"/>
          <w:sz w:val="24"/>
          <w14:textFill>
            <w14:solidFill>
              <w14:schemeClr w14:val="tx1"/>
            </w14:solidFill>
          </w14:textFill>
        </w:rPr>
      </w:pPr>
    </w:p>
    <w:p>
      <w:pPr>
        <w:spacing w:line="360" w:lineRule="auto"/>
        <w:rPr>
          <w:rFonts w:hint="eastAsia" w:eastAsia="宋体"/>
          <w:color w:val="000000" w:themeColor="text1"/>
          <w:sz w:val="24"/>
          <w14:textFill>
            <w14:solidFill>
              <w14:schemeClr w14:val="tx1"/>
            </w14:solidFill>
          </w14:textFill>
        </w:rPr>
      </w:pPr>
    </w:p>
    <w:p>
      <w:pPr>
        <w:spacing w:line="360" w:lineRule="auto"/>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 xml:space="preserve">                 </w:t>
      </w:r>
    </w:p>
    <w:p>
      <w:pPr>
        <w:spacing w:before="120" w:after="120" w:line="360" w:lineRule="auto"/>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投</w:t>
      </w:r>
      <w:r>
        <w:rPr>
          <w:rFonts w:hint="eastAsia" w:eastAsia="宋体"/>
          <w:color w:val="000000" w:themeColor="text1"/>
          <w:sz w:val="24"/>
          <w14:textFill>
            <w14:solidFill>
              <w14:schemeClr w14:val="tx1"/>
            </w14:solidFill>
          </w14:textFill>
        </w:rPr>
        <w:t>标人：      （公章）</w:t>
      </w:r>
    </w:p>
    <w:p>
      <w:pPr>
        <w:spacing w:before="120" w:after="120" w:line="360" w:lineRule="auto"/>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 xml:space="preserve">投标人代表签字：         </w:t>
      </w:r>
      <w:r>
        <w:rPr>
          <w:rFonts w:hint="eastAsia" w:eastAsia="宋体"/>
          <w:color w:val="000000" w:themeColor="text1"/>
          <w:sz w:val="24"/>
          <w:lang w:val="en-US" w:eastAsia="zh-CN"/>
          <w14:textFill>
            <w14:solidFill>
              <w14:schemeClr w14:val="tx1"/>
            </w14:solidFill>
          </w14:textFill>
        </w:rPr>
        <w:t xml:space="preserve">       联系方式：</w:t>
      </w:r>
      <w:r>
        <w:rPr>
          <w:rFonts w:hint="eastAsia" w:eastAsia="宋体"/>
          <w:color w:val="000000" w:themeColor="text1"/>
          <w:sz w:val="24"/>
          <w14:textFill>
            <w14:solidFill>
              <w14:schemeClr w14:val="tx1"/>
            </w14:solidFill>
          </w14:textFill>
        </w:rPr>
        <w:t xml:space="preserve">              </w:t>
      </w:r>
    </w:p>
    <w:p>
      <w:pPr>
        <w:spacing w:before="120" w:after="120" w:line="360" w:lineRule="auto"/>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 xml:space="preserve">日期：    </w:t>
      </w:r>
    </w:p>
    <w:p>
      <w:pPr>
        <w:spacing w:line="360" w:lineRule="auto"/>
        <w:jc w:val="left"/>
        <w:outlineLvl w:val="1"/>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br w:type="page"/>
      </w:r>
    </w:p>
    <w:p>
      <w:pPr>
        <w:spacing w:line="360" w:lineRule="auto"/>
        <w:jc w:val="left"/>
        <w:outlineLvl w:val="1"/>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附件二</w:t>
      </w:r>
    </w:p>
    <w:p>
      <w:pPr>
        <w:spacing w:line="360" w:lineRule="auto"/>
        <w:jc w:val="center"/>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授权委托书</w:t>
      </w:r>
    </w:p>
    <w:p>
      <w:pPr>
        <w:spacing w:line="360" w:lineRule="auto"/>
        <w:ind w:firstLine="480"/>
        <w:jc w:val="left"/>
        <w:rPr>
          <w:rFonts w:ascii="宋体" w:hAnsi="宋体" w:eastAsia="宋体"/>
          <w:color w:val="000000" w:themeColor="text1"/>
          <w:sz w:val="24"/>
          <w14:textFill>
            <w14:solidFill>
              <w14:schemeClr w14:val="tx1"/>
            </w14:solidFill>
          </w14:textFill>
        </w:rPr>
      </w:pPr>
    </w:p>
    <w:p>
      <w:pPr>
        <w:spacing w:line="360" w:lineRule="auto"/>
        <w:ind w:firstLine="480"/>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本授权委托书声明：我</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（姓名）系</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（投标人名称）的法定代表人，现授权委托</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（姓名）</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（在本单位职务）为我公司合法代理人，以本公司的名义参加</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的投标活动。代理人在招投标及合同谈判过程中所签署的一切文件和处理与之有关的一切事务，我均予以承认，所有后果均由我公司承担。</w:t>
      </w:r>
    </w:p>
    <w:p>
      <w:pPr>
        <w:spacing w:line="360" w:lineRule="auto"/>
        <w:ind w:firstLine="480"/>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代理人无权转委托。</w:t>
      </w:r>
    </w:p>
    <w:p>
      <w:pPr>
        <w:spacing w:line="360" w:lineRule="auto"/>
        <w:ind w:firstLine="48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特此委托。</w:t>
      </w:r>
    </w:p>
    <w:p>
      <w:pPr>
        <w:spacing w:line="360" w:lineRule="auto"/>
        <w:jc w:val="left"/>
        <w:rPr>
          <w:rFonts w:ascii="宋体" w:hAnsi="宋体" w:eastAsia="宋体"/>
          <w:color w:val="000000" w:themeColor="text1"/>
          <w:sz w:val="24"/>
          <w14:textFill>
            <w14:solidFill>
              <w14:schemeClr w14:val="tx1"/>
            </w14:solidFill>
          </w14:textFill>
        </w:rPr>
      </w:pPr>
    </w:p>
    <w:p>
      <w:pPr>
        <w:spacing w:line="360" w:lineRule="auto"/>
        <w:jc w:val="left"/>
        <w:rPr>
          <w:rFonts w:ascii="宋体" w:hAnsi="宋体" w:eastAsia="宋体"/>
          <w:color w:val="000000" w:themeColor="text1"/>
          <w:sz w:val="24"/>
          <w14:textFill>
            <w14:solidFill>
              <w14:schemeClr w14:val="tx1"/>
            </w14:solidFill>
          </w14:textFill>
        </w:rPr>
      </w:pPr>
    </w:p>
    <w:p>
      <w:pPr>
        <w:spacing w:line="360" w:lineRule="auto"/>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代理人：             性别：           年龄：</w:t>
      </w:r>
    </w:p>
    <w:p>
      <w:pPr>
        <w:spacing w:line="360" w:lineRule="auto"/>
        <w:jc w:val="left"/>
        <w:rPr>
          <w:rFonts w:ascii="宋体" w:hAnsi="宋体" w:eastAsia="宋体"/>
          <w:color w:val="000000" w:themeColor="text1"/>
          <w:sz w:val="24"/>
          <w14:textFill>
            <w14:solidFill>
              <w14:schemeClr w14:val="tx1"/>
            </w14:solidFill>
          </w14:textFill>
        </w:rPr>
      </w:pPr>
    </w:p>
    <w:p>
      <w:pPr>
        <w:spacing w:line="360" w:lineRule="auto"/>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部门：                                职务：</w:t>
      </w:r>
    </w:p>
    <w:p>
      <w:pPr>
        <w:spacing w:line="360" w:lineRule="auto"/>
        <w:jc w:val="left"/>
        <w:rPr>
          <w:rFonts w:ascii="宋体" w:hAnsi="宋体" w:eastAsia="宋体"/>
          <w:color w:val="000000" w:themeColor="text1"/>
          <w:sz w:val="24"/>
          <w14:textFill>
            <w14:solidFill>
              <w14:schemeClr w14:val="tx1"/>
            </w14:solidFill>
          </w14:textFill>
        </w:rPr>
      </w:pPr>
    </w:p>
    <w:p>
      <w:pPr>
        <w:spacing w:line="360" w:lineRule="auto"/>
        <w:jc w:val="left"/>
        <w:rPr>
          <w:rFonts w:ascii="宋体" w:hAnsi="宋体" w:eastAsia="宋体"/>
          <w:color w:val="000000" w:themeColor="text1"/>
          <w:sz w:val="24"/>
          <w14:textFill>
            <w14:solidFill>
              <w14:schemeClr w14:val="tx1"/>
            </w14:solidFill>
          </w14:textFill>
        </w:rPr>
      </w:pPr>
    </w:p>
    <w:p>
      <w:pPr>
        <w:spacing w:line="360" w:lineRule="auto"/>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投标人：（盖章）</w:t>
      </w:r>
    </w:p>
    <w:p>
      <w:pPr>
        <w:spacing w:line="360" w:lineRule="auto"/>
        <w:jc w:val="left"/>
        <w:rPr>
          <w:rFonts w:ascii="宋体" w:hAnsi="宋体" w:eastAsia="宋体"/>
          <w:color w:val="000000" w:themeColor="text1"/>
          <w:sz w:val="24"/>
          <w14:textFill>
            <w14:solidFill>
              <w14:schemeClr w14:val="tx1"/>
            </w14:solidFill>
          </w14:textFill>
        </w:rPr>
      </w:pPr>
    </w:p>
    <w:p>
      <w:pPr>
        <w:spacing w:line="360" w:lineRule="auto"/>
        <w:ind w:right="480"/>
        <w:jc w:val="righ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日期：</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pPr>
        <w:spacing w:line="360" w:lineRule="auto"/>
        <w:jc w:val="left"/>
        <w:rPr>
          <w:rFonts w:ascii="宋体" w:hAnsi="宋体" w:eastAsia="宋体"/>
          <w:color w:val="000000" w:themeColor="text1"/>
          <w:sz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spacing w:line="360" w:lineRule="auto"/>
        <w:jc w:val="left"/>
        <w:outlineLvl w:val="1"/>
        <w:rPr>
          <w:rFonts w:ascii="宋体" w:hAnsi="宋体" w:eastAsia="宋体"/>
          <w:b/>
          <w:bCs/>
          <w:color w:val="000000" w:themeColor="text1"/>
          <w14:textFill>
            <w14:solidFill>
              <w14:schemeClr w14:val="tx1"/>
            </w14:solidFill>
          </w14:textFill>
        </w:rPr>
      </w:pPr>
    </w:p>
    <w:p>
      <w:pPr>
        <w:spacing w:line="360" w:lineRule="auto"/>
        <w:jc w:val="left"/>
        <w:outlineLvl w:val="1"/>
        <w:rPr>
          <w:rFonts w:ascii="宋体" w:hAnsi="宋体" w:eastAsia="宋体"/>
          <w:b/>
          <w:bCs/>
          <w:color w:val="000000" w:themeColor="text1"/>
          <w14:textFill>
            <w14:solidFill>
              <w14:schemeClr w14:val="tx1"/>
            </w14:solidFill>
          </w14:textFill>
        </w:rPr>
      </w:pPr>
    </w:p>
    <w:p>
      <w:pPr>
        <w:spacing w:line="360" w:lineRule="auto"/>
        <w:jc w:val="left"/>
        <w:outlineLvl w:val="1"/>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br w:type="page"/>
      </w:r>
    </w:p>
    <w:p>
      <w:pPr>
        <w:spacing w:line="360" w:lineRule="auto"/>
        <w:jc w:val="left"/>
        <w:outlineLvl w:val="1"/>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附件三</w:t>
      </w:r>
    </w:p>
    <w:p>
      <w:pPr>
        <w:spacing w:line="360" w:lineRule="auto"/>
        <w:jc w:val="center"/>
        <w:outlineLvl w:val="1"/>
        <w:rPr>
          <w:rFonts w:ascii="宋体" w:hAnsi="宋体" w:eastAsia="宋体"/>
          <w:b/>
          <w:color w:val="auto"/>
          <w:sz w:val="22"/>
          <w:szCs w:val="21"/>
          <w:highlight w:val="none"/>
        </w:rPr>
      </w:pPr>
      <w:bookmarkStart w:id="5" w:name="_Toc26966"/>
      <w:r>
        <w:rPr>
          <w:rFonts w:hint="eastAsia" w:ascii="宋体" w:hAnsi="宋体" w:eastAsia="宋体"/>
          <w:b/>
          <w:color w:val="auto"/>
          <w:sz w:val="22"/>
          <w:szCs w:val="21"/>
          <w:highlight w:val="none"/>
        </w:rPr>
        <w:t>无重大违法记录声明函、无不良信用记录声明函</w:t>
      </w:r>
      <w:bookmarkEnd w:id="5"/>
    </w:p>
    <w:p>
      <w:pPr>
        <w:spacing w:line="360" w:lineRule="auto"/>
        <w:ind w:firstLine="435"/>
        <w:rPr>
          <w:rFonts w:ascii="宋体" w:hAnsi="宋体" w:eastAsia="宋体"/>
          <w:color w:val="auto"/>
          <w:sz w:val="22"/>
          <w:szCs w:val="21"/>
          <w:highlight w:val="none"/>
        </w:rPr>
      </w:pPr>
      <w:bookmarkStart w:id="6" w:name="_Hlk16464098"/>
      <w:r>
        <w:rPr>
          <w:rFonts w:hint="eastAsia" w:ascii="宋体" w:hAnsi="宋体" w:eastAsia="宋体"/>
          <w:color w:val="auto"/>
          <w:sz w:val="22"/>
          <w:szCs w:val="21"/>
          <w:highlight w:val="none"/>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spacing w:line="360" w:lineRule="auto"/>
        <w:ind w:firstLine="435"/>
        <w:rPr>
          <w:rFonts w:ascii="宋体" w:hAnsi="宋体" w:eastAsia="宋体"/>
          <w:color w:val="auto"/>
          <w:sz w:val="22"/>
          <w:szCs w:val="21"/>
          <w:highlight w:val="none"/>
        </w:rPr>
      </w:pPr>
      <w:r>
        <w:rPr>
          <w:rFonts w:hint="eastAsia" w:ascii="宋体" w:hAnsi="宋体" w:eastAsia="宋体"/>
          <w:color w:val="auto"/>
          <w:sz w:val="22"/>
          <w:szCs w:val="21"/>
          <w:highlight w:val="none"/>
        </w:rPr>
        <w:t>2.本单位郑重声明，我单位无以下不良信用记录情形：</w:t>
      </w:r>
    </w:p>
    <w:p>
      <w:pPr>
        <w:spacing w:line="360" w:lineRule="auto"/>
        <w:ind w:firstLine="435"/>
        <w:rPr>
          <w:rFonts w:hint="eastAsia" w:ascii="宋体" w:hAnsi="宋体" w:eastAsia="宋体"/>
          <w:color w:val="auto"/>
          <w:sz w:val="22"/>
          <w:szCs w:val="21"/>
          <w:highlight w:val="none"/>
        </w:rPr>
      </w:pPr>
      <w:r>
        <w:rPr>
          <w:rFonts w:hint="eastAsia" w:ascii="宋体" w:hAnsi="宋体" w:eastAsia="宋体"/>
          <w:color w:val="auto"/>
          <w:sz w:val="22"/>
          <w:szCs w:val="21"/>
          <w:highlight w:val="none"/>
          <w:lang w:eastAsia="zh-CN"/>
        </w:rPr>
        <w:t>（</w:t>
      </w:r>
      <w:r>
        <w:rPr>
          <w:rFonts w:hint="eastAsia" w:ascii="宋体" w:hAnsi="宋体" w:eastAsia="宋体"/>
          <w:color w:val="auto"/>
          <w:sz w:val="22"/>
          <w:szCs w:val="21"/>
          <w:highlight w:val="none"/>
          <w:lang w:val="en-US" w:eastAsia="zh-CN"/>
        </w:rPr>
        <w:t>1</w:t>
      </w:r>
      <w:r>
        <w:rPr>
          <w:rFonts w:hint="eastAsia" w:ascii="宋体" w:hAnsi="宋体" w:eastAsia="宋体"/>
          <w:color w:val="auto"/>
          <w:sz w:val="22"/>
          <w:szCs w:val="21"/>
          <w:highlight w:val="none"/>
          <w:lang w:eastAsia="zh-CN"/>
        </w:rPr>
        <w:t>）</w:t>
      </w:r>
      <w:r>
        <w:rPr>
          <w:rFonts w:hint="eastAsia" w:ascii="宋体" w:hAnsi="宋体" w:eastAsia="宋体"/>
          <w:color w:val="auto"/>
          <w:sz w:val="22"/>
          <w:szCs w:val="21"/>
          <w:highlight w:val="none"/>
        </w:rPr>
        <w:t>被人民法院列入失信被执行人名单的；</w:t>
      </w:r>
    </w:p>
    <w:p>
      <w:pPr>
        <w:spacing w:line="360" w:lineRule="auto"/>
        <w:ind w:firstLine="435"/>
        <w:rPr>
          <w:rFonts w:hint="eastAsia" w:ascii="宋体" w:hAnsi="宋体" w:eastAsia="宋体"/>
          <w:color w:val="auto"/>
          <w:sz w:val="22"/>
          <w:szCs w:val="21"/>
          <w:highlight w:val="none"/>
        </w:rPr>
      </w:pPr>
      <w:r>
        <w:rPr>
          <w:rFonts w:hint="eastAsia" w:ascii="宋体" w:hAnsi="宋体" w:eastAsia="宋体"/>
          <w:color w:val="auto"/>
          <w:sz w:val="22"/>
          <w:szCs w:val="21"/>
          <w:highlight w:val="none"/>
          <w:lang w:val="en-US" w:eastAsia="zh-CN"/>
        </w:rPr>
        <w:t>（3）</w:t>
      </w:r>
      <w:r>
        <w:rPr>
          <w:rFonts w:hint="eastAsia" w:ascii="宋体" w:hAnsi="宋体" w:eastAsia="宋体"/>
          <w:color w:val="auto"/>
          <w:sz w:val="22"/>
          <w:szCs w:val="21"/>
          <w:highlight w:val="none"/>
        </w:rPr>
        <w:t>被税务机关列入重大税收违法案件当事人名单的；</w:t>
      </w:r>
    </w:p>
    <w:p>
      <w:pPr>
        <w:spacing w:line="360" w:lineRule="auto"/>
        <w:ind w:firstLine="435"/>
        <w:rPr>
          <w:rFonts w:ascii="宋体" w:hAnsi="宋体" w:eastAsia="宋体"/>
          <w:color w:val="auto"/>
          <w:sz w:val="22"/>
          <w:szCs w:val="21"/>
          <w:highlight w:val="none"/>
        </w:rPr>
      </w:pPr>
      <w:r>
        <w:rPr>
          <w:rFonts w:hint="eastAsia" w:ascii="宋体" w:hAnsi="宋体" w:eastAsia="宋体"/>
          <w:color w:val="auto"/>
          <w:sz w:val="22"/>
          <w:szCs w:val="21"/>
          <w:highlight w:val="none"/>
          <w:lang w:eastAsia="zh-CN"/>
        </w:rPr>
        <w:t>（</w:t>
      </w:r>
      <w:r>
        <w:rPr>
          <w:rFonts w:hint="eastAsia" w:ascii="宋体" w:hAnsi="宋体" w:eastAsia="宋体"/>
          <w:color w:val="auto"/>
          <w:sz w:val="22"/>
          <w:szCs w:val="21"/>
          <w:highlight w:val="none"/>
          <w:lang w:val="en-US" w:eastAsia="zh-CN"/>
        </w:rPr>
        <w:t>3</w:t>
      </w:r>
      <w:r>
        <w:rPr>
          <w:rFonts w:hint="eastAsia" w:ascii="宋体" w:hAnsi="宋体" w:eastAsia="宋体"/>
          <w:color w:val="auto"/>
          <w:sz w:val="22"/>
          <w:szCs w:val="21"/>
          <w:highlight w:val="none"/>
          <w:lang w:eastAsia="zh-CN"/>
        </w:rPr>
        <w:t>）</w:t>
      </w:r>
      <w:r>
        <w:rPr>
          <w:rFonts w:hint="eastAsia" w:ascii="宋体" w:hAnsi="宋体" w:eastAsia="宋体"/>
          <w:color w:val="auto"/>
          <w:sz w:val="22"/>
          <w:szCs w:val="21"/>
          <w:highlight w:val="none"/>
        </w:rPr>
        <w:t>被市场监督管理部门（或工商行政管理部门）列入严重违法失信企业名单的。</w:t>
      </w:r>
    </w:p>
    <w:p>
      <w:pPr>
        <w:spacing w:line="360" w:lineRule="auto"/>
        <w:ind w:firstLine="435"/>
        <w:rPr>
          <w:rFonts w:ascii="宋体" w:hAnsi="宋体" w:eastAsia="宋体"/>
          <w:color w:val="auto"/>
          <w:sz w:val="22"/>
          <w:szCs w:val="21"/>
          <w:highlight w:val="none"/>
        </w:rPr>
      </w:pPr>
      <w:r>
        <w:rPr>
          <w:rFonts w:hint="eastAsia" w:ascii="宋体" w:hAnsi="宋体" w:eastAsia="宋体"/>
          <w:color w:val="auto"/>
          <w:sz w:val="22"/>
          <w:szCs w:val="21"/>
          <w:highlight w:val="none"/>
        </w:rPr>
        <w:t>本单位对上述声明的真实性负责。如有虚假，将依法承担相应责任。</w:t>
      </w:r>
    </w:p>
    <w:p>
      <w:pPr>
        <w:spacing w:line="360" w:lineRule="auto"/>
        <w:ind w:firstLine="4400" w:firstLineChars="2000"/>
        <w:rPr>
          <w:rFonts w:hint="eastAsia" w:ascii="宋体" w:hAnsi="宋体" w:eastAsia="宋体"/>
          <w:color w:val="auto"/>
          <w:sz w:val="22"/>
          <w:szCs w:val="21"/>
          <w:highlight w:val="none"/>
        </w:rPr>
      </w:pPr>
    </w:p>
    <w:p>
      <w:pPr>
        <w:spacing w:line="360" w:lineRule="auto"/>
        <w:ind w:firstLine="4400" w:firstLineChars="2000"/>
        <w:rPr>
          <w:rFonts w:ascii="宋体" w:hAnsi="宋体" w:eastAsia="宋体"/>
          <w:color w:val="auto"/>
          <w:sz w:val="22"/>
          <w:szCs w:val="21"/>
          <w:highlight w:val="none"/>
          <w:u w:val="single"/>
        </w:rPr>
      </w:pPr>
      <w:r>
        <w:rPr>
          <w:rFonts w:hint="eastAsia" w:ascii="宋体" w:hAnsi="宋体" w:eastAsia="宋体"/>
          <w:color w:val="auto"/>
          <w:sz w:val="22"/>
          <w:szCs w:val="21"/>
          <w:highlight w:val="none"/>
        </w:rPr>
        <w:t>投标人签章：</w:t>
      </w:r>
      <w:r>
        <w:rPr>
          <w:rFonts w:hint="eastAsia" w:ascii="宋体" w:hAnsi="宋体" w:eastAsia="宋体"/>
          <w:color w:val="auto"/>
          <w:sz w:val="22"/>
          <w:szCs w:val="21"/>
          <w:highlight w:val="none"/>
          <w:u w:val="single"/>
        </w:rPr>
        <w:t xml:space="preserve">     </w:t>
      </w:r>
      <w:r>
        <w:rPr>
          <w:rFonts w:ascii="宋体" w:hAnsi="宋体" w:eastAsia="宋体"/>
          <w:color w:val="auto"/>
          <w:sz w:val="22"/>
          <w:szCs w:val="21"/>
          <w:highlight w:val="none"/>
          <w:u w:val="single"/>
        </w:rPr>
        <w:t xml:space="preserve">    </w:t>
      </w:r>
      <w:r>
        <w:rPr>
          <w:rFonts w:hint="eastAsia" w:ascii="宋体" w:hAnsi="宋体" w:eastAsia="宋体"/>
          <w:color w:val="auto"/>
          <w:sz w:val="22"/>
          <w:szCs w:val="21"/>
          <w:highlight w:val="none"/>
          <w:u w:val="single"/>
        </w:rPr>
        <w:t xml:space="preserve">    </w:t>
      </w:r>
    </w:p>
    <w:p>
      <w:pPr>
        <w:tabs>
          <w:tab w:val="left" w:pos="630"/>
        </w:tabs>
        <w:spacing w:line="360" w:lineRule="auto"/>
        <w:ind w:firstLine="4400" w:firstLineChars="2000"/>
        <w:rPr>
          <w:rFonts w:ascii="宋体" w:hAnsi="宋体" w:eastAsia="宋体"/>
          <w:color w:val="auto"/>
          <w:sz w:val="22"/>
          <w:szCs w:val="21"/>
          <w:highlight w:val="none"/>
          <w:u w:val="single"/>
        </w:rPr>
      </w:pPr>
      <w:r>
        <w:rPr>
          <w:rFonts w:hint="eastAsia" w:ascii="宋体" w:hAnsi="宋体" w:eastAsia="宋体"/>
          <w:color w:val="auto"/>
          <w:sz w:val="22"/>
          <w:szCs w:val="21"/>
          <w:highlight w:val="none"/>
        </w:rPr>
        <w:t xml:space="preserve">日     </w:t>
      </w:r>
      <w:r>
        <w:rPr>
          <w:rFonts w:ascii="宋体" w:hAnsi="宋体" w:eastAsia="宋体"/>
          <w:color w:val="auto"/>
          <w:sz w:val="22"/>
          <w:szCs w:val="21"/>
          <w:highlight w:val="none"/>
        </w:rPr>
        <w:t xml:space="preserve"> </w:t>
      </w:r>
      <w:r>
        <w:rPr>
          <w:rFonts w:hint="eastAsia" w:ascii="宋体" w:hAnsi="宋体" w:eastAsia="宋体"/>
          <w:color w:val="auto"/>
          <w:sz w:val="22"/>
          <w:szCs w:val="21"/>
          <w:highlight w:val="none"/>
        </w:rPr>
        <w:t>期：</w:t>
      </w:r>
      <w:r>
        <w:rPr>
          <w:rFonts w:hint="eastAsia" w:ascii="宋体" w:hAnsi="宋体" w:eastAsia="宋体"/>
          <w:color w:val="auto"/>
          <w:sz w:val="22"/>
          <w:szCs w:val="21"/>
          <w:highlight w:val="none"/>
          <w:u w:val="single"/>
        </w:rPr>
        <w:t xml:space="preserve">             </w:t>
      </w:r>
      <w:bookmarkEnd w:id="6"/>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spacing w:line="360" w:lineRule="auto"/>
        <w:jc w:val="left"/>
        <w:outlineLvl w:val="1"/>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br w:type="page"/>
      </w:r>
    </w:p>
    <w:p>
      <w:pPr>
        <w:spacing w:line="360" w:lineRule="auto"/>
        <w:jc w:val="left"/>
        <w:outlineLvl w:val="1"/>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附件四</w:t>
      </w:r>
    </w:p>
    <w:p>
      <w:pPr>
        <w:spacing w:line="360" w:lineRule="auto"/>
        <w:jc w:val="center"/>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承担过的主要类似项目业绩表</w:t>
      </w:r>
    </w:p>
    <w:p>
      <w:pPr>
        <w:spacing w:line="360" w:lineRule="auto"/>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年    月    日</w:t>
      </w:r>
    </w:p>
    <w:tbl>
      <w:tblPr>
        <w:tblStyle w:val="17"/>
        <w:tblW w:w="8520"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20"/>
        <w:gridCol w:w="720"/>
        <w:gridCol w:w="994"/>
        <w:gridCol w:w="116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trPr>
        <w:tc>
          <w:tcPr>
            <w:tcW w:w="2268" w:type="dxa"/>
            <w:vAlign w:val="center"/>
          </w:tcPr>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项目名称</w:t>
            </w:r>
          </w:p>
        </w:tc>
        <w:tc>
          <w:tcPr>
            <w:tcW w:w="720" w:type="dxa"/>
            <w:vAlign w:val="center"/>
          </w:tcPr>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项目性质</w:t>
            </w:r>
          </w:p>
        </w:tc>
        <w:tc>
          <w:tcPr>
            <w:tcW w:w="720" w:type="dxa"/>
            <w:vAlign w:val="center"/>
          </w:tcPr>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项目规模</w:t>
            </w:r>
          </w:p>
        </w:tc>
        <w:tc>
          <w:tcPr>
            <w:tcW w:w="994" w:type="dxa"/>
            <w:vAlign w:val="center"/>
          </w:tcPr>
          <w:p>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服务</w:t>
            </w:r>
          </w:p>
          <w:p>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内容</w:t>
            </w:r>
          </w:p>
        </w:tc>
        <w:tc>
          <w:tcPr>
            <w:tcW w:w="1166" w:type="dxa"/>
            <w:vAlign w:val="center"/>
          </w:tcPr>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w:t>
            </w:r>
          </w:p>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期限</w:t>
            </w:r>
          </w:p>
        </w:tc>
        <w:tc>
          <w:tcPr>
            <w:tcW w:w="1440" w:type="dxa"/>
            <w:vAlign w:val="center"/>
          </w:tcPr>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服务起</w:t>
            </w:r>
          </w:p>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止日期</w:t>
            </w:r>
          </w:p>
        </w:tc>
        <w:tc>
          <w:tcPr>
            <w:tcW w:w="1212" w:type="dxa"/>
            <w:vAlign w:val="center"/>
          </w:tcPr>
          <w:p>
            <w:pPr>
              <w:spacing w:line="360" w:lineRule="auto"/>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客户名称</w:t>
            </w:r>
          </w:p>
          <w:p>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268"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994" w:type="dxa"/>
          </w:tcPr>
          <w:p>
            <w:pPr>
              <w:spacing w:line="360" w:lineRule="auto"/>
              <w:jc w:val="left"/>
              <w:rPr>
                <w:rFonts w:ascii="宋体" w:hAnsi="宋体" w:eastAsia="宋体"/>
                <w:color w:val="000000" w:themeColor="text1"/>
                <w:sz w:val="24"/>
                <w14:textFill>
                  <w14:solidFill>
                    <w14:schemeClr w14:val="tx1"/>
                  </w14:solidFill>
                </w14:textFill>
              </w:rPr>
            </w:pPr>
          </w:p>
        </w:tc>
        <w:tc>
          <w:tcPr>
            <w:tcW w:w="1166" w:type="dxa"/>
          </w:tcPr>
          <w:p>
            <w:pPr>
              <w:spacing w:line="360" w:lineRule="auto"/>
              <w:jc w:val="left"/>
              <w:rPr>
                <w:rFonts w:ascii="宋体" w:hAnsi="宋体" w:eastAsia="宋体"/>
                <w:color w:val="000000" w:themeColor="text1"/>
                <w:sz w:val="24"/>
                <w14:textFill>
                  <w14:solidFill>
                    <w14:schemeClr w14:val="tx1"/>
                  </w14:solidFill>
                </w14:textFill>
              </w:rPr>
            </w:pPr>
          </w:p>
        </w:tc>
        <w:tc>
          <w:tcPr>
            <w:tcW w:w="1440" w:type="dxa"/>
          </w:tcPr>
          <w:p>
            <w:pPr>
              <w:spacing w:line="360" w:lineRule="auto"/>
              <w:jc w:val="left"/>
              <w:rPr>
                <w:rFonts w:ascii="宋体" w:hAnsi="宋体" w:eastAsia="宋体"/>
                <w:color w:val="000000" w:themeColor="text1"/>
                <w:sz w:val="24"/>
                <w14:textFill>
                  <w14:solidFill>
                    <w14:schemeClr w14:val="tx1"/>
                  </w14:solidFill>
                </w14:textFill>
              </w:rPr>
            </w:pPr>
          </w:p>
        </w:tc>
        <w:tc>
          <w:tcPr>
            <w:tcW w:w="1212" w:type="dxa"/>
          </w:tcPr>
          <w:p>
            <w:pPr>
              <w:spacing w:line="360" w:lineRule="auto"/>
              <w:jc w:val="left"/>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268"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994" w:type="dxa"/>
          </w:tcPr>
          <w:p>
            <w:pPr>
              <w:spacing w:line="360" w:lineRule="auto"/>
              <w:jc w:val="left"/>
              <w:rPr>
                <w:rFonts w:ascii="宋体" w:hAnsi="宋体" w:eastAsia="宋体"/>
                <w:color w:val="000000" w:themeColor="text1"/>
                <w:sz w:val="24"/>
                <w14:textFill>
                  <w14:solidFill>
                    <w14:schemeClr w14:val="tx1"/>
                  </w14:solidFill>
                </w14:textFill>
              </w:rPr>
            </w:pPr>
          </w:p>
        </w:tc>
        <w:tc>
          <w:tcPr>
            <w:tcW w:w="1166" w:type="dxa"/>
          </w:tcPr>
          <w:p>
            <w:pPr>
              <w:spacing w:line="360" w:lineRule="auto"/>
              <w:jc w:val="left"/>
              <w:rPr>
                <w:rFonts w:ascii="宋体" w:hAnsi="宋体" w:eastAsia="宋体"/>
                <w:color w:val="000000" w:themeColor="text1"/>
                <w:sz w:val="24"/>
                <w14:textFill>
                  <w14:solidFill>
                    <w14:schemeClr w14:val="tx1"/>
                  </w14:solidFill>
                </w14:textFill>
              </w:rPr>
            </w:pPr>
          </w:p>
        </w:tc>
        <w:tc>
          <w:tcPr>
            <w:tcW w:w="1440" w:type="dxa"/>
          </w:tcPr>
          <w:p>
            <w:pPr>
              <w:spacing w:line="360" w:lineRule="auto"/>
              <w:jc w:val="left"/>
              <w:rPr>
                <w:rFonts w:ascii="宋体" w:hAnsi="宋体" w:eastAsia="宋体"/>
                <w:color w:val="000000" w:themeColor="text1"/>
                <w:sz w:val="24"/>
                <w14:textFill>
                  <w14:solidFill>
                    <w14:schemeClr w14:val="tx1"/>
                  </w14:solidFill>
                </w14:textFill>
              </w:rPr>
            </w:pPr>
          </w:p>
        </w:tc>
        <w:tc>
          <w:tcPr>
            <w:tcW w:w="1212" w:type="dxa"/>
          </w:tcPr>
          <w:p>
            <w:pPr>
              <w:spacing w:line="360" w:lineRule="auto"/>
              <w:jc w:val="left"/>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268"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994" w:type="dxa"/>
          </w:tcPr>
          <w:p>
            <w:pPr>
              <w:spacing w:line="360" w:lineRule="auto"/>
              <w:jc w:val="left"/>
              <w:rPr>
                <w:rFonts w:ascii="宋体" w:hAnsi="宋体" w:eastAsia="宋体"/>
                <w:color w:val="000000" w:themeColor="text1"/>
                <w:sz w:val="24"/>
                <w14:textFill>
                  <w14:solidFill>
                    <w14:schemeClr w14:val="tx1"/>
                  </w14:solidFill>
                </w14:textFill>
              </w:rPr>
            </w:pPr>
          </w:p>
        </w:tc>
        <w:tc>
          <w:tcPr>
            <w:tcW w:w="1166" w:type="dxa"/>
          </w:tcPr>
          <w:p>
            <w:pPr>
              <w:spacing w:line="360" w:lineRule="auto"/>
              <w:jc w:val="left"/>
              <w:rPr>
                <w:rFonts w:ascii="宋体" w:hAnsi="宋体" w:eastAsia="宋体"/>
                <w:color w:val="000000" w:themeColor="text1"/>
                <w:sz w:val="24"/>
                <w14:textFill>
                  <w14:solidFill>
                    <w14:schemeClr w14:val="tx1"/>
                  </w14:solidFill>
                </w14:textFill>
              </w:rPr>
            </w:pPr>
          </w:p>
        </w:tc>
        <w:tc>
          <w:tcPr>
            <w:tcW w:w="1440" w:type="dxa"/>
          </w:tcPr>
          <w:p>
            <w:pPr>
              <w:spacing w:line="360" w:lineRule="auto"/>
              <w:jc w:val="left"/>
              <w:rPr>
                <w:rFonts w:ascii="宋体" w:hAnsi="宋体" w:eastAsia="宋体"/>
                <w:color w:val="000000" w:themeColor="text1"/>
                <w:sz w:val="24"/>
                <w14:textFill>
                  <w14:solidFill>
                    <w14:schemeClr w14:val="tx1"/>
                  </w14:solidFill>
                </w14:textFill>
              </w:rPr>
            </w:pPr>
          </w:p>
        </w:tc>
        <w:tc>
          <w:tcPr>
            <w:tcW w:w="1212" w:type="dxa"/>
          </w:tcPr>
          <w:p>
            <w:pPr>
              <w:spacing w:line="360" w:lineRule="auto"/>
              <w:jc w:val="left"/>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268"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994" w:type="dxa"/>
          </w:tcPr>
          <w:p>
            <w:pPr>
              <w:spacing w:line="360" w:lineRule="auto"/>
              <w:jc w:val="left"/>
              <w:rPr>
                <w:rFonts w:ascii="宋体" w:hAnsi="宋体" w:eastAsia="宋体"/>
                <w:color w:val="000000" w:themeColor="text1"/>
                <w:sz w:val="24"/>
                <w14:textFill>
                  <w14:solidFill>
                    <w14:schemeClr w14:val="tx1"/>
                  </w14:solidFill>
                </w14:textFill>
              </w:rPr>
            </w:pPr>
          </w:p>
        </w:tc>
        <w:tc>
          <w:tcPr>
            <w:tcW w:w="1166" w:type="dxa"/>
          </w:tcPr>
          <w:p>
            <w:pPr>
              <w:spacing w:line="360" w:lineRule="auto"/>
              <w:jc w:val="left"/>
              <w:rPr>
                <w:rFonts w:ascii="宋体" w:hAnsi="宋体" w:eastAsia="宋体"/>
                <w:color w:val="000000" w:themeColor="text1"/>
                <w:sz w:val="24"/>
                <w14:textFill>
                  <w14:solidFill>
                    <w14:schemeClr w14:val="tx1"/>
                  </w14:solidFill>
                </w14:textFill>
              </w:rPr>
            </w:pPr>
          </w:p>
        </w:tc>
        <w:tc>
          <w:tcPr>
            <w:tcW w:w="1440" w:type="dxa"/>
          </w:tcPr>
          <w:p>
            <w:pPr>
              <w:spacing w:line="360" w:lineRule="auto"/>
              <w:jc w:val="left"/>
              <w:rPr>
                <w:rFonts w:ascii="宋体" w:hAnsi="宋体" w:eastAsia="宋体"/>
                <w:color w:val="000000" w:themeColor="text1"/>
                <w:sz w:val="24"/>
                <w14:textFill>
                  <w14:solidFill>
                    <w14:schemeClr w14:val="tx1"/>
                  </w14:solidFill>
                </w14:textFill>
              </w:rPr>
            </w:pPr>
          </w:p>
        </w:tc>
        <w:tc>
          <w:tcPr>
            <w:tcW w:w="1212" w:type="dxa"/>
          </w:tcPr>
          <w:p>
            <w:pPr>
              <w:spacing w:line="360" w:lineRule="auto"/>
              <w:jc w:val="left"/>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268"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994" w:type="dxa"/>
          </w:tcPr>
          <w:p>
            <w:pPr>
              <w:spacing w:line="360" w:lineRule="auto"/>
              <w:jc w:val="left"/>
              <w:rPr>
                <w:rFonts w:ascii="宋体" w:hAnsi="宋体" w:eastAsia="宋体"/>
                <w:color w:val="000000" w:themeColor="text1"/>
                <w:sz w:val="24"/>
                <w14:textFill>
                  <w14:solidFill>
                    <w14:schemeClr w14:val="tx1"/>
                  </w14:solidFill>
                </w14:textFill>
              </w:rPr>
            </w:pPr>
          </w:p>
        </w:tc>
        <w:tc>
          <w:tcPr>
            <w:tcW w:w="1166" w:type="dxa"/>
          </w:tcPr>
          <w:p>
            <w:pPr>
              <w:spacing w:line="360" w:lineRule="auto"/>
              <w:jc w:val="left"/>
              <w:rPr>
                <w:rFonts w:ascii="宋体" w:hAnsi="宋体" w:eastAsia="宋体"/>
                <w:color w:val="000000" w:themeColor="text1"/>
                <w:sz w:val="24"/>
                <w14:textFill>
                  <w14:solidFill>
                    <w14:schemeClr w14:val="tx1"/>
                  </w14:solidFill>
                </w14:textFill>
              </w:rPr>
            </w:pPr>
          </w:p>
        </w:tc>
        <w:tc>
          <w:tcPr>
            <w:tcW w:w="1440" w:type="dxa"/>
          </w:tcPr>
          <w:p>
            <w:pPr>
              <w:spacing w:line="360" w:lineRule="auto"/>
              <w:jc w:val="left"/>
              <w:rPr>
                <w:rFonts w:ascii="宋体" w:hAnsi="宋体" w:eastAsia="宋体"/>
                <w:color w:val="000000" w:themeColor="text1"/>
                <w:sz w:val="24"/>
                <w14:textFill>
                  <w14:solidFill>
                    <w14:schemeClr w14:val="tx1"/>
                  </w14:solidFill>
                </w14:textFill>
              </w:rPr>
            </w:pPr>
          </w:p>
        </w:tc>
        <w:tc>
          <w:tcPr>
            <w:tcW w:w="1212" w:type="dxa"/>
          </w:tcPr>
          <w:p>
            <w:pPr>
              <w:spacing w:line="360" w:lineRule="auto"/>
              <w:jc w:val="left"/>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268"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994" w:type="dxa"/>
          </w:tcPr>
          <w:p>
            <w:pPr>
              <w:spacing w:line="360" w:lineRule="auto"/>
              <w:jc w:val="left"/>
              <w:rPr>
                <w:rFonts w:ascii="宋体" w:hAnsi="宋体" w:eastAsia="宋体"/>
                <w:color w:val="000000" w:themeColor="text1"/>
                <w:sz w:val="24"/>
                <w14:textFill>
                  <w14:solidFill>
                    <w14:schemeClr w14:val="tx1"/>
                  </w14:solidFill>
                </w14:textFill>
              </w:rPr>
            </w:pPr>
          </w:p>
        </w:tc>
        <w:tc>
          <w:tcPr>
            <w:tcW w:w="1166" w:type="dxa"/>
          </w:tcPr>
          <w:p>
            <w:pPr>
              <w:spacing w:line="360" w:lineRule="auto"/>
              <w:jc w:val="left"/>
              <w:rPr>
                <w:rFonts w:ascii="宋体" w:hAnsi="宋体" w:eastAsia="宋体"/>
                <w:color w:val="000000" w:themeColor="text1"/>
                <w:sz w:val="24"/>
                <w14:textFill>
                  <w14:solidFill>
                    <w14:schemeClr w14:val="tx1"/>
                  </w14:solidFill>
                </w14:textFill>
              </w:rPr>
            </w:pPr>
          </w:p>
        </w:tc>
        <w:tc>
          <w:tcPr>
            <w:tcW w:w="1440" w:type="dxa"/>
          </w:tcPr>
          <w:p>
            <w:pPr>
              <w:spacing w:line="360" w:lineRule="auto"/>
              <w:jc w:val="left"/>
              <w:rPr>
                <w:rFonts w:ascii="宋体" w:hAnsi="宋体" w:eastAsia="宋体"/>
                <w:color w:val="000000" w:themeColor="text1"/>
                <w:sz w:val="24"/>
                <w14:textFill>
                  <w14:solidFill>
                    <w14:schemeClr w14:val="tx1"/>
                  </w14:solidFill>
                </w14:textFill>
              </w:rPr>
            </w:pPr>
          </w:p>
        </w:tc>
        <w:tc>
          <w:tcPr>
            <w:tcW w:w="1212" w:type="dxa"/>
          </w:tcPr>
          <w:p>
            <w:pPr>
              <w:spacing w:line="360" w:lineRule="auto"/>
              <w:jc w:val="left"/>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268"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994" w:type="dxa"/>
          </w:tcPr>
          <w:p>
            <w:pPr>
              <w:spacing w:line="360" w:lineRule="auto"/>
              <w:jc w:val="left"/>
              <w:rPr>
                <w:rFonts w:ascii="宋体" w:hAnsi="宋体" w:eastAsia="宋体"/>
                <w:color w:val="000000" w:themeColor="text1"/>
                <w:sz w:val="24"/>
                <w14:textFill>
                  <w14:solidFill>
                    <w14:schemeClr w14:val="tx1"/>
                  </w14:solidFill>
                </w14:textFill>
              </w:rPr>
            </w:pPr>
          </w:p>
        </w:tc>
        <w:tc>
          <w:tcPr>
            <w:tcW w:w="1166" w:type="dxa"/>
          </w:tcPr>
          <w:p>
            <w:pPr>
              <w:spacing w:line="360" w:lineRule="auto"/>
              <w:jc w:val="left"/>
              <w:rPr>
                <w:rFonts w:ascii="宋体" w:hAnsi="宋体" w:eastAsia="宋体"/>
                <w:color w:val="000000" w:themeColor="text1"/>
                <w:sz w:val="24"/>
                <w14:textFill>
                  <w14:solidFill>
                    <w14:schemeClr w14:val="tx1"/>
                  </w14:solidFill>
                </w14:textFill>
              </w:rPr>
            </w:pPr>
          </w:p>
        </w:tc>
        <w:tc>
          <w:tcPr>
            <w:tcW w:w="1440" w:type="dxa"/>
          </w:tcPr>
          <w:p>
            <w:pPr>
              <w:spacing w:line="360" w:lineRule="auto"/>
              <w:jc w:val="left"/>
              <w:rPr>
                <w:rFonts w:ascii="宋体" w:hAnsi="宋体" w:eastAsia="宋体"/>
                <w:color w:val="000000" w:themeColor="text1"/>
                <w:sz w:val="24"/>
                <w14:textFill>
                  <w14:solidFill>
                    <w14:schemeClr w14:val="tx1"/>
                  </w14:solidFill>
                </w14:textFill>
              </w:rPr>
            </w:pPr>
          </w:p>
        </w:tc>
        <w:tc>
          <w:tcPr>
            <w:tcW w:w="1212" w:type="dxa"/>
          </w:tcPr>
          <w:p>
            <w:pPr>
              <w:spacing w:line="360" w:lineRule="auto"/>
              <w:jc w:val="left"/>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268"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994" w:type="dxa"/>
          </w:tcPr>
          <w:p>
            <w:pPr>
              <w:spacing w:line="360" w:lineRule="auto"/>
              <w:jc w:val="left"/>
              <w:rPr>
                <w:rFonts w:ascii="宋体" w:hAnsi="宋体" w:eastAsia="宋体"/>
                <w:color w:val="000000" w:themeColor="text1"/>
                <w:sz w:val="24"/>
                <w14:textFill>
                  <w14:solidFill>
                    <w14:schemeClr w14:val="tx1"/>
                  </w14:solidFill>
                </w14:textFill>
              </w:rPr>
            </w:pPr>
          </w:p>
        </w:tc>
        <w:tc>
          <w:tcPr>
            <w:tcW w:w="1166" w:type="dxa"/>
          </w:tcPr>
          <w:p>
            <w:pPr>
              <w:spacing w:line="360" w:lineRule="auto"/>
              <w:jc w:val="left"/>
              <w:rPr>
                <w:rFonts w:ascii="宋体" w:hAnsi="宋体" w:eastAsia="宋体"/>
                <w:color w:val="000000" w:themeColor="text1"/>
                <w:sz w:val="24"/>
                <w14:textFill>
                  <w14:solidFill>
                    <w14:schemeClr w14:val="tx1"/>
                  </w14:solidFill>
                </w14:textFill>
              </w:rPr>
            </w:pPr>
          </w:p>
        </w:tc>
        <w:tc>
          <w:tcPr>
            <w:tcW w:w="1440" w:type="dxa"/>
          </w:tcPr>
          <w:p>
            <w:pPr>
              <w:spacing w:line="360" w:lineRule="auto"/>
              <w:jc w:val="left"/>
              <w:rPr>
                <w:rFonts w:ascii="宋体" w:hAnsi="宋体" w:eastAsia="宋体"/>
                <w:color w:val="000000" w:themeColor="text1"/>
                <w:sz w:val="24"/>
                <w14:textFill>
                  <w14:solidFill>
                    <w14:schemeClr w14:val="tx1"/>
                  </w14:solidFill>
                </w14:textFill>
              </w:rPr>
            </w:pPr>
          </w:p>
        </w:tc>
        <w:tc>
          <w:tcPr>
            <w:tcW w:w="1212" w:type="dxa"/>
          </w:tcPr>
          <w:p>
            <w:pPr>
              <w:spacing w:line="360" w:lineRule="auto"/>
              <w:jc w:val="left"/>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268"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720" w:type="dxa"/>
          </w:tcPr>
          <w:p>
            <w:pPr>
              <w:spacing w:line="360" w:lineRule="auto"/>
              <w:jc w:val="left"/>
              <w:rPr>
                <w:rFonts w:ascii="宋体" w:hAnsi="宋体" w:eastAsia="宋体"/>
                <w:color w:val="000000" w:themeColor="text1"/>
                <w:sz w:val="24"/>
                <w14:textFill>
                  <w14:solidFill>
                    <w14:schemeClr w14:val="tx1"/>
                  </w14:solidFill>
                </w14:textFill>
              </w:rPr>
            </w:pPr>
          </w:p>
        </w:tc>
        <w:tc>
          <w:tcPr>
            <w:tcW w:w="994" w:type="dxa"/>
          </w:tcPr>
          <w:p>
            <w:pPr>
              <w:spacing w:line="360" w:lineRule="auto"/>
              <w:jc w:val="left"/>
              <w:rPr>
                <w:rFonts w:ascii="宋体" w:hAnsi="宋体" w:eastAsia="宋体"/>
                <w:color w:val="000000" w:themeColor="text1"/>
                <w:sz w:val="24"/>
                <w14:textFill>
                  <w14:solidFill>
                    <w14:schemeClr w14:val="tx1"/>
                  </w14:solidFill>
                </w14:textFill>
              </w:rPr>
            </w:pPr>
          </w:p>
        </w:tc>
        <w:tc>
          <w:tcPr>
            <w:tcW w:w="1166" w:type="dxa"/>
          </w:tcPr>
          <w:p>
            <w:pPr>
              <w:spacing w:line="360" w:lineRule="auto"/>
              <w:jc w:val="left"/>
              <w:rPr>
                <w:rFonts w:ascii="宋体" w:hAnsi="宋体" w:eastAsia="宋体"/>
                <w:color w:val="000000" w:themeColor="text1"/>
                <w:sz w:val="24"/>
                <w14:textFill>
                  <w14:solidFill>
                    <w14:schemeClr w14:val="tx1"/>
                  </w14:solidFill>
                </w14:textFill>
              </w:rPr>
            </w:pPr>
          </w:p>
        </w:tc>
        <w:tc>
          <w:tcPr>
            <w:tcW w:w="1440" w:type="dxa"/>
          </w:tcPr>
          <w:p>
            <w:pPr>
              <w:spacing w:line="360" w:lineRule="auto"/>
              <w:jc w:val="left"/>
              <w:rPr>
                <w:rFonts w:ascii="宋体" w:hAnsi="宋体" w:eastAsia="宋体"/>
                <w:color w:val="000000" w:themeColor="text1"/>
                <w:sz w:val="24"/>
                <w14:textFill>
                  <w14:solidFill>
                    <w14:schemeClr w14:val="tx1"/>
                  </w14:solidFill>
                </w14:textFill>
              </w:rPr>
            </w:pPr>
          </w:p>
        </w:tc>
        <w:tc>
          <w:tcPr>
            <w:tcW w:w="1212" w:type="dxa"/>
          </w:tcPr>
          <w:p>
            <w:pPr>
              <w:spacing w:line="360" w:lineRule="auto"/>
              <w:jc w:val="left"/>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exact"/>
        </w:trPr>
        <w:tc>
          <w:tcPr>
            <w:tcW w:w="8520" w:type="dxa"/>
            <w:gridSpan w:val="7"/>
            <w:vAlign w:val="center"/>
          </w:tcPr>
          <w:p>
            <w:pPr>
              <w:spacing w:line="360" w:lineRule="auto"/>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备注：</w:t>
            </w:r>
          </w:p>
        </w:tc>
      </w:tr>
    </w:tbl>
    <w:p>
      <w:pPr>
        <w:spacing w:line="360" w:lineRule="auto"/>
        <w:jc w:val="left"/>
        <w:rPr>
          <w:rFonts w:ascii="宋体" w:hAnsi="宋体" w:eastAsia="宋体"/>
          <w:color w:val="000000" w:themeColor="text1"/>
          <w:sz w:val="24"/>
          <w14:textFill>
            <w14:solidFill>
              <w14:schemeClr w14:val="tx1"/>
            </w14:solidFill>
          </w14:textFill>
        </w:rPr>
      </w:pPr>
    </w:p>
    <w:p>
      <w:pPr>
        <w:spacing w:line="360" w:lineRule="auto"/>
        <w:ind w:firstLine="240" w:firstLineChars="10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后附合同及相应证明材料。</w:t>
      </w: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spacing w:line="360" w:lineRule="auto"/>
        <w:jc w:val="left"/>
        <w:outlineLvl w:val="1"/>
        <w:rPr>
          <w:rFonts w:hint="eastAsia" w:ascii="宋体" w:hAnsi="宋体" w:eastAsia="宋体"/>
          <w:b/>
          <w:bCs/>
          <w:color w:val="000000" w:themeColor="text1"/>
          <w:lang w:val="en-US" w:eastAsia="zh-CN"/>
          <w14:textFill>
            <w14:solidFill>
              <w14:schemeClr w14:val="tx1"/>
            </w14:solidFill>
          </w14:textFill>
        </w:rPr>
      </w:pPr>
      <w:r>
        <w:rPr>
          <w:rFonts w:hint="eastAsia" w:ascii="宋体" w:hAnsi="宋体" w:eastAsia="宋体"/>
          <w:b/>
          <w:bCs/>
          <w:color w:val="000000" w:themeColor="text1"/>
          <w14:textFill>
            <w14:solidFill>
              <w14:schemeClr w14:val="tx1"/>
            </w14:solidFill>
          </w14:textFill>
        </w:rPr>
        <w:t>附件</w:t>
      </w:r>
      <w:r>
        <w:rPr>
          <w:rFonts w:hint="eastAsia" w:ascii="宋体" w:hAnsi="宋体" w:eastAsia="宋体"/>
          <w:b/>
          <w:bCs/>
          <w:color w:val="000000" w:themeColor="text1"/>
          <w:lang w:val="en-US" w:eastAsia="zh-CN"/>
          <w14:textFill>
            <w14:solidFill>
              <w14:schemeClr w14:val="tx1"/>
            </w14:solidFill>
          </w14:textFill>
        </w:rPr>
        <w:t>五</w:t>
      </w:r>
    </w:p>
    <w:p>
      <w:pPr>
        <w:spacing w:line="360" w:lineRule="auto"/>
        <w:jc w:val="center"/>
        <w:outlineLvl w:val="1"/>
        <w:rPr>
          <w:rFonts w:ascii="宋体" w:hAnsi="宋体" w:eastAsia="宋体"/>
          <w:b/>
          <w:color w:val="auto"/>
          <w:sz w:val="24"/>
          <w:highlight w:val="none"/>
        </w:rPr>
      </w:pPr>
      <w:bookmarkStart w:id="7" w:name="_Toc32226"/>
      <w:r>
        <w:rPr>
          <w:rFonts w:hint="eastAsia" w:ascii="宋体" w:hAnsi="宋体" w:eastAsia="宋体"/>
          <w:b/>
          <w:color w:val="auto"/>
          <w:sz w:val="24"/>
          <w:highlight w:val="none"/>
        </w:rPr>
        <w:t>投标分项报价表</w:t>
      </w:r>
      <w:bookmarkEnd w:id="7"/>
    </w:p>
    <w:p>
      <w:pPr>
        <w:spacing w:line="360" w:lineRule="auto"/>
        <w:ind w:firstLine="435"/>
        <w:jc w:val="center"/>
        <w:rPr>
          <w:rFonts w:ascii="宋体" w:hAnsi="宋体" w:eastAsia="宋体"/>
          <w:b/>
          <w:color w:val="auto"/>
          <w:sz w:val="24"/>
          <w:highlight w:val="none"/>
        </w:rPr>
      </w:pPr>
      <w:r>
        <w:rPr>
          <w:rFonts w:hint="eastAsia" w:ascii="宋体" w:hAnsi="宋体" w:eastAsia="宋体"/>
          <w:i/>
          <w:color w:val="auto"/>
          <w:sz w:val="24"/>
          <w:highlight w:val="none"/>
        </w:rPr>
        <w:t>（仅供参考，投标人可自行制作格式）</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09"/>
        <w:gridCol w:w="1357"/>
        <w:gridCol w:w="169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90" w:type="dxa"/>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序号</w:t>
            </w:r>
          </w:p>
        </w:tc>
        <w:tc>
          <w:tcPr>
            <w:tcW w:w="3109" w:type="dxa"/>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1357" w:type="dxa"/>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1698" w:type="dxa"/>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1568" w:type="dxa"/>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tcBorders>
              <w:bottom w:val="single" w:color="auto" w:sz="4" w:space="0"/>
            </w:tcBorders>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3109" w:type="dxa"/>
            <w:vAlign w:val="center"/>
          </w:tcPr>
          <w:p>
            <w:pPr>
              <w:jc w:val="center"/>
              <w:rPr>
                <w:rFonts w:ascii="宋体" w:hAnsi="宋体" w:eastAsia="宋体"/>
                <w:color w:val="auto"/>
                <w:sz w:val="24"/>
                <w:highlight w:val="none"/>
              </w:rPr>
            </w:pPr>
          </w:p>
        </w:tc>
        <w:tc>
          <w:tcPr>
            <w:tcW w:w="1357" w:type="dxa"/>
            <w:vAlign w:val="center"/>
          </w:tcPr>
          <w:p>
            <w:pPr>
              <w:jc w:val="center"/>
              <w:rPr>
                <w:rFonts w:ascii="宋体" w:hAnsi="宋体" w:eastAsia="宋体"/>
                <w:color w:val="auto"/>
                <w:sz w:val="24"/>
                <w:highlight w:val="none"/>
              </w:rPr>
            </w:pPr>
          </w:p>
        </w:tc>
        <w:tc>
          <w:tcPr>
            <w:tcW w:w="1698" w:type="dxa"/>
            <w:vAlign w:val="center"/>
          </w:tcPr>
          <w:p>
            <w:pPr>
              <w:jc w:val="center"/>
              <w:rPr>
                <w:rFonts w:ascii="宋体" w:hAnsi="宋体" w:eastAsia="宋体"/>
                <w:color w:val="auto"/>
                <w:sz w:val="24"/>
                <w:highlight w:val="none"/>
              </w:rPr>
            </w:pPr>
          </w:p>
        </w:tc>
        <w:tc>
          <w:tcPr>
            <w:tcW w:w="1568" w:type="dxa"/>
            <w:vAlign w:val="center"/>
          </w:tcPr>
          <w:p>
            <w:pPr>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3109" w:type="dxa"/>
            <w:vAlign w:val="center"/>
          </w:tcPr>
          <w:p>
            <w:pPr>
              <w:jc w:val="center"/>
              <w:rPr>
                <w:rFonts w:ascii="宋体" w:hAnsi="宋体" w:eastAsia="宋体"/>
                <w:color w:val="auto"/>
                <w:sz w:val="24"/>
                <w:highlight w:val="none"/>
              </w:rPr>
            </w:pPr>
          </w:p>
        </w:tc>
        <w:tc>
          <w:tcPr>
            <w:tcW w:w="1357" w:type="dxa"/>
            <w:vAlign w:val="center"/>
          </w:tcPr>
          <w:p>
            <w:pPr>
              <w:jc w:val="center"/>
              <w:rPr>
                <w:rFonts w:ascii="宋体" w:hAnsi="宋体" w:eastAsia="宋体"/>
                <w:color w:val="auto"/>
                <w:sz w:val="24"/>
                <w:highlight w:val="none"/>
              </w:rPr>
            </w:pPr>
          </w:p>
        </w:tc>
        <w:tc>
          <w:tcPr>
            <w:tcW w:w="1698" w:type="dxa"/>
            <w:vAlign w:val="center"/>
          </w:tcPr>
          <w:p>
            <w:pPr>
              <w:jc w:val="center"/>
              <w:rPr>
                <w:rFonts w:ascii="宋体" w:hAnsi="宋体" w:eastAsia="宋体"/>
                <w:color w:val="auto"/>
                <w:sz w:val="24"/>
                <w:highlight w:val="none"/>
              </w:rPr>
            </w:pPr>
          </w:p>
        </w:tc>
        <w:tc>
          <w:tcPr>
            <w:tcW w:w="1568" w:type="dxa"/>
            <w:vAlign w:val="center"/>
          </w:tcPr>
          <w:p>
            <w:pPr>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3109" w:type="dxa"/>
            <w:vAlign w:val="center"/>
          </w:tcPr>
          <w:p>
            <w:pPr>
              <w:jc w:val="center"/>
              <w:rPr>
                <w:rFonts w:ascii="宋体" w:hAnsi="宋体" w:eastAsia="宋体"/>
                <w:color w:val="auto"/>
                <w:sz w:val="24"/>
                <w:highlight w:val="none"/>
              </w:rPr>
            </w:pPr>
          </w:p>
        </w:tc>
        <w:tc>
          <w:tcPr>
            <w:tcW w:w="1357" w:type="dxa"/>
            <w:vAlign w:val="center"/>
          </w:tcPr>
          <w:p>
            <w:pPr>
              <w:jc w:val="center"/>
              <w:rPr>
                <w:rFonts w:ascii="宋体" w:hAnsi="宋体" w:eastAsia="宋体"/>
                <w:color w:val="auto"/>
                <w:sz w:val="24"/>
                <w:highlight w:val="none"/>
              </w:rPr>
            </w:pPr>
          </w:p>
        </w:tc>
        <w:tc>
          <w:tcPr>
            <w:tcW w:w="1698" w:type="dxa"/>
            <w:vAlign w:val="center"/>
          </w:tcPr>
          <w:p>
            <w:pPr>
              <w:jc w:val="center"/>
              <w:rPr>
                <w:rFonts w:ascii="宋体" w:hAnsi="宋体" w:eastAsia="宋体"/>
                <w:color w:val="auto"/>
                <w:sz w:val="24"/>
                <w:highlight w:val="none"/>
              </w:rPr>
            </w:pPr>
          </w:p>
        </w:tc>
        <w:tc>
          <w:tcPr>
            <w:tcW w:w="1568" w:type="dxa"/>
            <w:vAlign w:val="center"/>
          </w:tcPr>
          <w:p>
            <w:pPr>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pPr>
              <w:jc w:val="center"/>
              <w:rPr>
                <w:rFonts w:ascii="宋体" w:hAnsi="宋体" w:eastAsia="宋体"/>
                <w:color w:val="auto"/>
                <w:sz w:val="24"/>
                <w:highlight w:val="none"/>
              </w:rPr>
            </w:pPr>
            <w:r>
              <w:rPr>
                <w:rFonts w:ascii="宋体" w:hAnsi="宋体" w:eastAsia="宋体"/>
                <w:color w:val="auto"/>
                <w:sz w:val="24"/>
                <w:highlight w:val="none"/>
              </w:rPr>
              <w:t>…</w:t>
            </w:r>
          </w:p>
        </w:tc>
        <w:tc>
          <w:tcPr>
            <w:tcW w:w="3109" w:type="dxa"/>
            <w:vAlign w:val="center"/>
          </w:tcPr>
          <w:p>
            <w:pPr>
              <w:jc w:val="center"/>
              <w:rPr>
                <w:rFonts w:ascii="宋体" w:hAnsi="宋体" w:eastAsia="宋体"/>
                <w:color w:val="auto"/>
                <w:sz w:val="24"/>
                <w:highlight w:val="none"/>
              </w:rPr>
            </w:pPr>
          </w:p>
        </w:tc>
        <w:tc>
          <w:tcPr>
            <w:tcW w:w="1357" w:type="dxa"/>
            <w:vAlign w:val="center"/>
          </w:tcPr>
          <w:p>
            <w:pPr>
              <w:jc w:val="center"/>
              <w:rPr>
                <w:rFonts w:ascii="宋体" w:hAnsi="宋体" w:eastAsia="宋体"/>
                <w:color w:val="auto"/>
                <w:sz w:val="24"/>
                <w:highlight w:val="none"/>
              </w:rPr>
            </w:pPr>
          </w:p>
        </w:tc>
        <w:tc>
          <w:tcPr>
            <w:tcW w:w="1698" w:type="dxa"/>
            <w:vAlign w:val="center"/>
          </w:tcPr>
          <w:p>
            <w:pPr>
              <w:jc w:val="center"/>
              <w:rPr>
                <w:rFonts w:ascii="宋体" w:hAnsi="宋体" w:eastAsia="宋体"/>
                <w:color w:val="auto"/>
                <w:sz w:val="24"/>
                <w:highlight w:val="none"/>
              </w:rPr>
            </w:pPr>
          </w:p>
        </w:tc>
        <w:tc>
          <w:tcPr>
            <w:tcW w:w="1568" w:type="dxa"/>
            <w:vAlign w:val="center"/>
          </w:tcPr>
          <w:p>
            <w:pPr>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pPr>
              <w:jc w:val="center"/>
              <w:rPr>
                <w:rFonts w:ascii="宋体" w:hAnsi="宋体" w:eastAsia="宋体"/>
                <w:color w:val="auto"/>
                <w:sz w:val="24"/>
                <w:highlight w:val="none"/>
              </w:rPr>
            </w:pPr>
          </w:p>
        </w:tc>
        <w:tc>
          <w:tcPr>
            <w:tcW w:w="3109" w:type="dxa"/>
            <w:vAlign w:val="center"/>
          </w:tcPr>
          <w:p>
            <w:pPr>
              <w:pStyle w:val="22"/>
              <w:ind w:left="-108"/>
              <w:jc w:val="center"/>
              <w:rPr>
                <w:rFonts w:ascii="宋体" w:hAnsi="宋体" w:eastAsia="宋体"/>
                <w:color w:val="auto"/>
                <w:highlight w:val="none"/>
              </w:rPr>
            </w:pPr>
            <w:r>
              <w:rPr>
                <w:rFonts w:hint="eastAsia" w:ascii="宋体" w:hAnsi="宋体" w:eastAsia="宋体"/>
                <w:color w:val="auto"/>
                <w:highlight w:val="none"/>
              </w:rPr>
              <w:t>其他费用</w:t>
            </w:r>
          </w:p>
        </w:tc>
        <w:tc>
          <w:tcPr>
            <w:tcW w:w="1357" w:type="dxa"/>
            <w:vAlign w:val="center"/>
          </w:tcPr>
          <w:p>
            <w:pPr>
              <w:jc w:val="center"/>
              <w:rPr>
                <w:rFonts w:ascii="宋体" w:hAnsi="宋体" w:eastAsia="宋体"/>
                <w:color w:val="auto"/>
                <w:sz w:val="24"/>
                <w:highlight w:val="none"/>
              </w:rPr>
            </w:pPr>
          </w:p>
        </w:tc>
        <w:tc>
          <w:tcPr>
            <w:tcW w:w="1698" w:type="dxa"/>
            <w:vAlign w:val="center"/>
          </w:tcPr>
          <w:p>
            <w:pPr>
              <w:jc w:val="center"/>
              <w:rPr>
                <w:rFonts w:ascii="宋体" w:hAnsi="宋体" w:eastAsia="宋体"/>
                <w:color w:val="auto"/>
                <w:sz w:val="24"/>
                <w:highlight w:val="none"/>
              </w:rPr>
            </w:pPr>
          </w:p>
        </w:tc>
        <w:tc>
          <w:tcPr>
            <w:tcW w:w="1568" w:type="dxa"/>
            <w:vAlign w:val="center"/>
          </w:tcPr>
          <w:p>
            <w:pPr>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pPr>
              <w:jc w:val="center"/>
              <w:rPr>
                <w:rFonts w:ascii="宋体" w:hAnsi="宋体" w:eastAsia="宋体"/>
                <w:color w:val="auto"/>
                <w:sz w:val="24"/>
                <w:highlight w:val="none"/>
              </w:rPr>
            </w:pPr>
          </w:p>
        </w:tc>
        <w:tc>
          <w:tcPr>
            <w:tcW w:w="3109" w:type="dxa"/>
            <w:vAlign w:val="center"/>
          </w:tcPr>
          <w:p>
            <w:pPr>
              <w:jc w:val="center"/>
              <w:rPr>
                <w:rFonts w:ascii="宋体" w:hAnsi="宋体" w:eastAsia="宋体"/>
                <w:color w:val="auto"/>
                <w:sz w:val="24"/>
                <w:highlight w:val="none"/>
              </w:rPr>
            </w:pPr>
            <w:r>
              <w:rPr>
                <w:rFonts w:ascii="宋体" w:hAnsi="宋体" w:eastAsia="宋体"/>
                <w:color w:val="auto"/>
                <w:sz w:val="24"/>
                <w:highlight w:val="none"/>
              </w:rPr>
              <w:t>……</w:t>
            </w:r>
          </w:p>
        </w:tc>
        <w:tc>
          <w:tcPr>
            <w:tcW w:w="1357" w:type="dxa"/>
            <w:vAlign w:val="center"/>
          </w:tcPr>
          <w:p>
            <w:pPr>
              <w:jc w:val="center"/>
              <w:rPr>
                <w:rFonts w:ascii="宋体" w:hAnsi="宋体" w:eastAsia="宋体"/>
                <w:color w:val="auto"/>
                <w:sz w:val="24"/>
                <w:highlight w:val="none"/>
              </w:rPr>
            </w:pPr>
          </w:p>
        </w:tc>
        <w:tc>
          <w:tcPr>
            <w:tcW w:w="1698" w:type="dxa"/>
            <w:vAlign w:val="center"/>
          </w:tcPr>
          <w:p>
            <w:pPr>
              <w:jc w:val="center"/>
              <w:rPr>
                <w:rFonts w:ascii="宋体" w:hAnsi="宋体" w:eastAsia="宋体"/>
                <w:color w:val="auto"/>
                <w:sz w:val="24"/>
                <w:highlight w:val="none"/>
              </w:rPr>
            </w:pPr>
          </w:p>
        </w:tc>
        <w:tc>
          <w:tcPr>
            <w:tcW w:w="1568" w:type="dxa"/>
            <w:vAlign w:val="center"/>
          </w:tcPr>
          <w:p>
            <w:pPr>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54" w:type="dxa"/>
            <w:gridSpan w:val="4"/>
            <w:vAlign w:val="center"/>
          </w:tcPr>
          <w:p>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1568" w:type="dxa"/>
            <w:vAlign w:val="center"/>
          </w:tcPr>
          <w:p>
            <w:pPr>
              <w:jc w:val="center"/>
              <w:rPr>
                <w:rFonts w:ascii="宋体" w:hAnsi="宋体" w:eastAsia="宋体"/>
                <w:color w:val="auto"/>
                <w:sz w:val="24"/>
                <w:highlight w:val="none"/>
              </w:rPr>
            </w:pPr>
          </w:p>
        </w:tc>
      </w:tr>
    </w:tbl>
    <w:p>
      <w:pPr>
        <w:pStyle w:val="12"/>
        <w:spacing w:line="360" w:lineRule="auto"/>
        <w:rPr>
          <w:rFonts w:ascii="宋体" w:hAnsi="宋体" w:eastAsia="宋体"/>
          <w:b w:val="0"/>
          <w:bCs/>
          <w:color w:val="auto"/>
          <w:sz w:val="24"/>
          <w:szCs w:val="28"/>
          <w:highlight w:val="none"/>
        </w:rPr>
      </w:pPr>
      <w:r>
        <w:rPr>
          <w:rFonts w:hint="eastAsia" w:ascii="宋体" w:hAnsi="宋体" w:eastAsia="宋体"/>
          <w:b w:val="0"/>
          <w:color w:val="auto"/>
          <w:sz w:val="24"/>
          <w:highlight w:val="none"/>
        </w:rPr>
        <w:t>投标人签章：</w:t>
      </w:r>
    </w:p>
    <w:p>
      <w:pPr>
        <w:adjustRightInd w:val="0"/>
        <w:snapToGrid w:val="0"/>
        <w:spacing w:line="360" w:lineRule="auto"/>
        <w:rPr>
          <w:rFonts w:ascii="宋体" w:hAnsi="宋体" w:eastAsia="宋体"/>
          <w:b/>
          <w:bCs/>
          <w:color w:val="auto"/>
          <w:sz w:val="24"/>
          <w:szCs w:val="28"/>
          <w:highlight w:val="none"/>
        </w:rPr>
      </w:pPr>
    </w:p>
    <w:p>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所列服务为对应本项目需求的全部服务内容。如有漏项或缺项，投标人承担全部责任。</w:t>
      </w:r>
    </w:p>
    <w:p>
      <w:pPr>
        <w:jc w:val="left"/>
        <w:rPr>
          <w:color w:val="FF0000"/>
          <w:sz w:val="24"/>
          <w:szCs w:val="24"/>
        </w:rPr>
      </w:pPr>
    </w:p>
    <w:p>
      <w:pPr>
        <w:jc w:val="left"/>
        <w:rPr>
          <w:color w:val="FF0000"/>
          <w:sz w:val="24"/>
          <w:szCs w:val="24"/>
        </w:rPr>
      </w:pPr>
    </w:p>
    <w:p>
      <w:pPr>
        <w:jc w:val="left"/>
        <w:rPr>
          <w:color w:val="FF0000"/>
          <w:sz w:val="24"/>
          <w:szCs w:val="24"/>
        </w:rPr>
      </w:pPr>
    </w:p>
    <w:p>
      <w:pPr>
        <w:jc w:val="left"/>
        <w:rPr>
          <w:color w:val="FF0000"/>
          <w:sz w:val="24"/>
          <w:szCs w:val="24"/>
        </w:rPr>
      </w:pPr>
    </w:p>
    <w:p>
      <w:pPr>
        <w:jc w:val="left"/>
        <w:rPr>
          <w:color w:val="FF0000"/>
          <w:sz w:val="24"/>
          <w:szCs w:val="24"/>
        </w:rPr>
      </w:pPr>
    </w:p>
    <w:p>
      <w:pPr>
        <w:jc w:val="left"/>
        <w:rPr>
          <w:color w:val="FF0000"/>
          <w:sz w:val="24"/>
          <w:szCs w:val="24"/>
        </w:rPr>
      </w:pPr>
    </w:p>
    <w:p>
      <w:pPr>
        <w:spacing w:before="120" w:line="360" w:lineRule="auto"/>
        <w:rPr>
          <w:rFonts w:hint="eastAsia" w:ascii="宋体" w:hAnsi="宋体" w:eastAsia="宋体"/>
          <w:b/>
          <w:bCs/>
          <w:szCs w:val="28"/>
        </w:rPr>
      </w:pPr>
      <w:r>
        <w:rPr>
          <w:rFonts w:hint="eastAsia" w:ascii="宋体" w:hAnsi="宋体" w:eastAsia="宋体"/>
          <w:b/>
          <w:bCs/>
          <w:szCs w:val="28"/>
        </w:rPr>
        <w:br w:type="page"/>
      </w:r>
    </w:p>
    <w:p>
      <w:pPr>
        <w:spacing w:before="120" w:line="360" w:lineRule="auto"/>
        <w:rPr>
          <w:rFonts w:ascii="黑体" w:eastAsia="黑体"/>
          <w:sz w:val="28"/>
          <w:szCs w:val="28"/>
        </w:rPr>
      </w:pPr>
      <w:r>
        <w:rPr>
          <w:rFonts w:hint="eastAsia" w:ascii="宋体" w:hAnsi="宋体" w:eastAsia="宋体"/>
          <w:b/>
          <w:bCs/>
          <w:szCs w:val="28"/>
        </w:rPr>
        <w:t>附件</w:t>
      </w:r>
      <w:r>
        <w:rPr>
          <w:rFonts w:hint="eastAsia" w:ascii="宋体" w:hAnsi="宋体" w:eastAsia="宋体"/>
          <w:b/>
          <w:bCs/>
          <w:szCs w:val="28"/>
          <w:lang w:val="en-US" w:eastAsia="zh-CN"/>
        </w:rPr>
        <w:t>六</w:t>
      </w:r>
      <w:r>
        <w:rPr>
          <w:rFonts w:hint="eastAsia" w:ascii="宋体" w:hAnsi="宋体" w:eastAsia="宋体" w:cs="仿宋"/>
          <w:szCs w:val="28"/>
        </w:rPr>
        <w:t xml:space="preserve">         </w:t>
      </w:r>
      <w:r>
        <w:rPr>
          <w:rFonts w:hint="eastAsia" w:ascii="黑体" w:eastAsia="黑体"/>
          <w:sz w:val="28"/>
          <w:szCs w:val="28"/>
        </w:rPr>
        <w:t>培训、售后服务方案及各种承诺</w:t>
      </w:r>
    </w:p>
    <w:p>
      <w:pPr>
        <w:spacing w:before="120" w:line="360" w:lineRule="auto"/>
        <w:rPr>
          <w:rFonts w:ascii="黑体" w:eastAsia="黑体"/>
          <w:szCs w:val="28"/>
        </w:rPr>
      </w:pPr>
    </w:p>
    <w:tbl>
      <w:tblPr>
        <w:tblStyle w:val="17"/>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restart"/>
            <w:vAlign w:val="center"/>
          </w:tcPr>
          <w:p>
            <w:pPr>
              <w:jc w:val="center"/>
              <w:rPr>
                <w:rFonts w:ascii="宋体" w:hAnsi="宋体" w:eastAsia="宋体"/>
                <w:sz w:val="24"/>
                <w:szCs w:val="24"/>
              </w:rPr>
            </w:pPr>
            <w:r>
              <w:rPr>
                <w:rFonts w:hint="eastAsia" w:ascii="宋体" w:hAnsi="宋体" w:eastAsia="宋体"/>
                <w:sz w:val="24"/>
                <w:szCs w:val="24"/>
              </w:rPr>
              <w:t>优惠条件</w:t>
            </w:r>
          </w:p>
        </w:tc>
        <w:tc>
          <w:tcPr>
            <w:tcW w:w="7720" w:type="dxa"/>
          </w:tcPr>
          <w:p>
            <w:pPr>
              <w:rPr>
                <w:rFonts w:ascii="宋体" w:hAnsi="宋体" w:eastAsia="宋体"/>
                <w:sz w:val="24"/>
                <w:szCs w:val="24"/>
              </w:rPr>
            </w:pP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continue"/>
            <w:vAlign w:val="center"/>
          </w:tcPr>
          <w:p>
            <w:pPr>
              <w:jc w:val="center"/>
              <w:rPr>
                <w:rFonts w:ascii="宋体" w:hAnsi="宋体" w:eastAsia="宋体"/>
                <w:sz w:val="24"/>
                <w:szCs w:val="24"/>
              </w:rPr>
            </w:pPr>
          </w:p>
        </w:tc>
        <w:tc>
          <w:tcPr>
            <w:tcW w:w="7720" w:type="dxa"/>
          </w:tcPr>
          <w:p>
            <w:pPr>
              <w:rPr>
                <w:rFonts w:ascii="宋体" w:hAnsi="宋体" w:eastAsia="宋体"/>
                <w:sz w:val="24"/>
                <w:szCs w:val="24"/>
              </w:rPr>
            </w:pP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continue"/>
            <w:vAlign w:val="center"/>
          </w:tcPr>
          <w:p>
            <w:pPr>
              <w:jc w:val="center"/>
              <w:rPr>
                <w:rFonts w:ascii="宋体" w:hAnsi="宋体" w:eastAsia="宋体"/>
                <w:sz w:val="24"/>
                <w:szCs w:val="24"/>
              </w:rPr>
            </w:pPr>
          </w:p>
        </w:tc>
        <w:tc>
          <w:tcPr>
            <w:tcW w:w="7720" w:type="dxa"/>
          </w:tcPr>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restart"/>
            <w:vAlign w:val="center"/>
          </w:tcPr>
          <w:p>
            <w:pPr>
              <w:jc w:val="center"/>
              <w:rPr>
                <w:rFonts w:ascii="宋体" w:hAnsi="宋体" w:eastAsia="宋体"/>
                <w:sz w:val="24"/>
                <w:szCs w:val="24"/>
              </w:rPr>
            </w:pPr>
            <w:r>
              <w:rPr>
                <w:rFonts w:hint="eastAsia" w:ascii="宋体" w:hAnsi="宋体" w:eastAsia="宋体"/>
                <w:sz w:val="24"/>
                <w:szCs w:val="24"/>
              </w:rPr>
              <w:t>培训及售后服务承诺</w:t>
            </w:r>
          </w:p>
        </w:tc>
        <w:tc>
          <w:tcPr>
            <w:tcW w:w="7720" w:type="dxa"/>
          </w:tcPr>
          <w:p>
            <w:pPr>
              <w:rPr>
                <w:rFonts w:ascii="宋体" w:hAnsi="宋体" w:eastAsia="宋体"/>
                <w:sz w:val="24"/>
                <w:szCs w:val="24"/>
              </w:rPr>
            </w:pP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continue"/>
            <w:vAlign w:val="center"/>
          </w:tcPr>
          <w:p>
            <w:pPr>
              <w:jc w:val="center"/>
              <w:rPr>
                <w:rFonts w:ascii="宋体" w:hAnsi="宋体" w:eastAsia="宋体"/>
                <w:sz w:val="24"/>
                <w:szCs w:val="24"/>
              </w:rPr>
            </w:pPr>
          </w:p>
        </w:tc>
        <w:tc>
          <w:tcPr>
            <w:tcW w:w="7720" w:type="dxa"/>
          </w:tcPr>
          <w:p>
            <w:pPr>
              <w:rPr>
                <w:rFonts w:ascii="宋体" w:hAnsi="宋体" w:eastAsia="宋体"/>
                <w:sz w:val="24"/>
                <w:szCs w:val="24"/>
              </w:rPr>
            </w:pP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continue"/>
            <w:vAlign w:val="center"/>
          </w:tcPr>
          <w:p>
            <w:pPr>
              <w:jc w:val="center"/>
              <w:rPr>
                <w:rFonts w:ascii="宋体" w:hAnsi="宋体" w:eastAsia="宋体"/>
                <w:sz w:val="24"/>
                <w:szCs w:val="24"/>
              </w:rPr>
            </w:pPr>
          </w:p>
        </w:tc>
        <w:tc>
          <w:tcPr>
            <w:tcW w:w="7720" w:type="dxa"/>
          </w:tcPr>
          <w:p>
            <w:pPr>
              <w:rPr>
                <w:rFonts w:ascii="宋体" w:hAnsi="宋体" w:eastAsia="宋体"/>
                <w:sz w:val="24"/>
                <w:szCs w:val="24"/>
              </w:rPr>
            </w:pP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720" w:type="dxa"/>
          </w:tcPr>
          <w:p>
            <w:pPr>
              <w:pStyle w:val="21"/>
              <w:spacing w:line="360" w:lineRule="auto"/>
              <w:ind w:right="-669"/>
              <w:rPr>
                <w:rFonts w:ascii="宋体" w:hAnsi="宋体" w:eastAsia="宋体" w:cs="宋体"/>
                <w:kern w:val="0"/>
                <w:sz w:val="24"/>
                <w:szCs w:val="24"/>
              </w:rPr>
            </w:pPr>
            <w:r>
              <w:rPr>
                <w:rFonts w:hint="eastAsia" w:ascii="宋体" w:hAnsi="宋体"/>
                <w:sz w:val="24"/>
                <w:szCs w:val="24"/>
              </w:rPr>
              <w:t xml:space="preserve">是否响应招标要求：   □ 是      □否 </w:t>
            </w:r>
          </w:p>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18" w:type="dxa"/>
            <w:vAlign w:val="center"/>
          </w:tcPr>
          <w:p>
            <w:pPr>
              <w:jc w:val="center"/>
              <w:rPr>
                <w:rFonts w:ascii="宋体" w:hAnsi="宋体" w:eastAsia="宋体"/>
                <w:sz w:val="24"/>
                <w:szCs w:val="24"/>
              </w:rPr>
            </w:pPr>
            <w:r>
              <w:rPr>
                <w:rFonts w:hint="eastAsia" w:ascii="宋体" w:hAnsi="宋体" w:eastAsia="宋体"/>
                <w:sz w:val="24"/>
                <w:szCs w:val="24"/>
              </w:rPr>
              <w:t>交货期</w:t>
            </w:r>
          </w:p>
        </w:tc>
        <w:tc>
          <w:tcPr>
            <w:tcW w:w="7720" w:type="dxa"/>
            <w:vAlign w:val="center"/>
          </w:tcPr>
          <w:p>
            <w:pPr>
              <w:jc w:val="center"/>
              <w:rPr>
                <w:rFonts w:ascii="宋体" w:hAnsi="宋体" w:eastAsia="宋体"/>
                <w:b/>
                <w:sz w:val="24"/>
                <w:szCs w:val="24"/>
              </w:rPr>
            </w:pPr>
            <w:r>
              <w:rPr>
                <w:rFonts w:hint="eastAsia" w:ascii="宋体" w:hAnsi="宋体" w:eastAsia="宋体"/>
                <w:b/>
                <w:sz w:val="24"/>
                <w:szCs w:val="24"/>
              </w:rPr>
              <w:t>合同签订后     日历天内供货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Align w:val="center"/>
          </w:tcPr>
          <w:p>
            <w:pPr>
              <w:jc w:val="center"/>
              <w:rPr>
                <w:rFonts w:ascii="宋体" w:hAnsi="宋体" w:eastAsia="宋体"/>
                <w:sz w:val="24"/>
                <w:szCs w:val="24"/>
              </w:rPr>
            </w:pPr>
            <w:r>
              <w:rPr>
                <w:rFonts w:hint="eastAsia" w:ascii="宋体" w:hAnsi="宋体" w:eastAsia="宋体"/>
                <w:sz w:val="24"/>
                <w:szCs w:val="24"/>
              </w:rPr>
              <w:t>承诺</w:t>
            </w:r>
          </w:p>
        </w:tc>
        <w:tc>
          <w:tcPr>
            <w:tcW w:w="7720" w:type="dxa"/>
          </w:tcPr>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p>
        </w:tc>
      </w:tr>
    </w:tbl>
    <w:p>
      <w:pPr>
        <w:spacing w:line="360" w:lineRule="auto"/>
        <w:jc w:val="left"/>
        <w:outlineLvl w:val="1"/>
        <w:rPr>
          <w:rFonts w:ascii="宋体" w:hAnsi="宋体" w:eastAsia="宋体"/>
          <w:b/>
          <w:bCs/>
          <w:szCs w:val="28"/>
        </w:rPr>
      </w:pPr>
    </w:p>
    <w:p>
      <w:pPr>
        <w:spacing w:line="360" w:lineRule="auto"/>
        <w:jc w:val="left"/>
        <w:outlineLvl w:val="1"/>
        <w:rPr>
          <w:rFonts w:ascii="宋体" w:hAnsi="宋体" w:eastAsia="宋体"/>
          <w:b/>
          <w:bCs/>
          <w:szCs w:val="28"/>
        </w:rPr>
      </w:pPr>
    </w:p>
    <w:p>
      <w:pPr>
        <w:spacing w:line="360" w:lineRule="auto"/>
        <w:jc w:val="left"/>
        <w:outlineLvl w:val="1"/>
        <w:rPr>
          <w:rFonts w:hint="eastAsia" w:ascii="宋体" w:hAnsi="宋体" w:eastAsia="宋体"/>
          <w:b/>
          <w:bCs/>
          <w:szCs w:val="28"/>
        </w:rPr>
      </w:pPr>
      <w:r>
        <w:rPr>
          <w:rFonts w:hint="eastAsia" w:ascii="宋体" w:hAnsi="宋体" w:eastAsia="宋体"/>
          <w:b/>
          <w:bCs/>
          <w:szCs w:val="28"/>
        </w:rPr>
        <w:br w:type="page"/>
      </w:r>
    </w:p>
    <w:p>
      <w:pPr>
        <w:spacing w:line="360" w:lineRule="auto"/>
        <w:jc w:val="left"/>
        <w:outlineLvl w:val="1"/>
        <w:rPr>
          <w:rFonts w:hint="eastAsia" w:ascii="宋体" w:hAnsi="宋体" w:eastAsia="宋体"/>
          <w:b/>
          <w:bCs/>
          <w:szCs w:val="28"/>
          <w:lang w:eastAsia="zh-CN"/>
        </w:rPr>
      </w:pPr>
      <w:r>
        <w:rPr>
          <w:rFonts w:hint="eastAsia" w:ascii="宋体" w:hAnsi="宋体" w:eastAsia="宋体"/>
          <w:b/>
          <w:bCs/>
          <w:szCs w:val="28"/>
        </w:rPr>
        <w:t>附件</w:t>
      </w:r>
      <w:r>
        <w:rPr>
          <w:rFonts w:hint="eastAsia" w:ascii="宋体" w:hAnsi="宋体" w:eastAsia="宋体"/>
          <w:b/>
          <w:bCs/>
          <w:szCs w:val="28"/>
          <w:lang w:val="en-US" w:eastAsia="zh-CN"/>
        </w:rPr>
        <w:t>七</w:t>
      </w:r>
    </w:p>
    <w:p>
      <w:pPr>
        <w:spacing w:line="360" w:lineRule="auto"/>
        <w:jc w:val="left"/>
        <w:outlineLvl w:val="1"/>
        <w:rPr>
          <w:rFonts w:ascii="宋体" w:hAnsi="宋体" w:eastAsia="宋体"/>
          <w:b/>
          <w:bCs/>
          <w:szCs w:val="28"/>
        </w:rPr>
      </w:pPr>
    </w:p>
    <w:p>
      <w:pPr>
        <w:spacing w:line="360" w:lineRule="auto"/>
        <w:jc w:val="center"/>
        <w:outlineLvl w:val="1"/>
        <w:rPr>
          <w:rFonts w:ascii="宋体" w:hAnsi="宋体" w:eastAsia="宋体"/>
          <w:b/>
          <w:bCs/>
          <w:szCs w:val="28"/>
        </w:rPr>
      </w:pPr>
      <w:r>
        <w:rPr>
          <w:rFonts w:hint="eastAsia" w:ascii="宋体" w:hAnsi="宋体" w:eastAsia="宋体"/>
          <w:sz w:val="32"/>
          <w:szCs w:val="32"/>
        </w:rPr>
        <w:t>优 惠 条 件</w:t>
      </w:r>
    </w:p>
    <w:p>
      <w:pPr>
        <w:jc w:val="left"/>
        <w:rPr>
          <w:color w:val="FF0000"/>
          <w:sz w:val="24"/>
          <w:szCs w:val="24"/>
        </w:rPr>
      </w:pPr>
    </w:p>
    <w:p>
      <w:pPr>
        <w:jc w:val="left"/>
        <w:rPr>
          <w:color w:val="FF0000"/>
          <w:sz w:val="24"/>
          <w:szCs w:val="24"/>
        </w:rPr>
      </w:pPr>
    </w:p>
    <w:p>
      <w:pPr>
        <w:jc w:val="left"/>
        <w:rPr>
          <w:color w:val="FF0000"/>
          <w:sz w:val="24"/>
          <w:szCs w:val="24"/>
        </w:rPr>
      </w:pPr>
    </w:p>
    <w:p>
      <w:pPr>
        <w:jc w:val="left"/>
        <w:rPr>
          <w:color w:val="FF0000"/>
          <w:sz w:val="24"/>
          <w:szCs w:val="24"/>
        </w:rPr>
      </w:pPr>
    </w:p>
    <w:p>
      <w:pPr>
        <w:jc w:val="left"/>
        <w:rPr>
          <w:color w:val="FF0000"/>
          <w:sz w:val="24"/>
          <w:szCs w:val="24"/>
        </w:rPr>
      </w:pPr>
    </w:p>
    <w:p>
      <w:pPr>
        <w:jc w:val="left"/>
        <w:rPr>
          <w:color w:val="FF0000"/>
          <w:sz w:val="24"/>
          <w:szCs w:val="24"/>
        </w:rPr>
      </w:pPr>
    </w:p>
    <w:p>
      <w:pPr>
        <w:spacing w:line="360" w:lineRule="auto"/>
        <w:jc w:val="left"/>
        <w:outlineLvl w:val="1"/>
        <w:rPr>
          <w:rFonts w:hint="eastAsia" w:ascii="宋体" w:hAnsi="宋体" w:eastAsia="宋体"/>
          <w:b/>
          <w:bCs/>
          <w:szCs w:val="28"/>
        </w:rPr>
      </w:pPr>
      <w:r>
        <w:rPr>
          <w:rFonts w:hint="eastAsia" w:ascii="宋体" w:hAnsi="宋体" w:eastAsia="宋体"/>
          <w:b/>
          <w:bCs/>
          <w:szCs w:val="28"/>
        </w:rPr>
        <w:br w:type="page"/>
      </w:r>
    </w:p>
    <w:p>
      <w:pPr>
        <w:spacing w:line="360" w:lineRule="auto"/>
        <w:jc w:val="left"/>
        <w:outlineLvl w:val="1"/>
        <w:rPr>
          <w:rFonts w:hint="eastAsia" w:ascii="宋体" w:hAnsi="宋体" w:eastAsia="宋体"/>
          <w:b/>
          <w:bCs/>
          <w:szCs w:val="28"/>
          <w:lang w:val="en-US" w:eastAsia="zh-CN"/>
        </w:rPr>
      </w:pPr>
      <w:r>
        <w:rPr>
          <w:rFonts w:hint="eastAsia" w:ascii="宋体" w:hAnsi="宋体" w:eastAsia="宋体"/>
          <w:b/>
          <w:bCs/>
          <w:szCs w:val="28"/>
        </w:rPr>
        <w:t>附件</w:t>
      </w:r>
      <w:r>
        <w:rPr>
          <w:rFonts w:hint="eastAsia" w:ascii="宋体" w:hAnsi="宋体" w:eastAsia="宋体"/>
          <w:b/>
          <w:bCs/>
          <w:szCs w:val="28"/>
          <w:lang w:val="en-US" w:eastAsia="zh-CN"/>
        </w:rPr>
        <w:t>八</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 xml:space="preserve"> 投标人认为需要说明的其他内容和招标文件要求提供的其他内容</w:t>
      </w:r>
    </w:p>
    <w:p>
      <w:pPr>
        <w:spacing w:before="120" w:line="360" w:lineRule="auto"/>
        <w:jc w:val="center"/>
        <w:rPr>
          <w:rFonts w:ascii="宋体" w:hAnsi="宋体" w:eastAsia="宋体"/>
          <w:sz w:val="28"/>
          <w:szCs w:val="28"/>
        </w:rPr>
      </w:pPr>
      <w:r>
        <w:rPr>
          <w:rFonts w:hint="eastAsia" w:ascii="宋体" w:hAnsi="宋体" w:eastAsia="宋体"/>
          <w:sz w:val="28"/>
          <w:szCs w:val="28"/>
          <w:lang w:eastAsia="zh-CN"/>
        </w:rPr>
        <w:t>（</w:t>
      </w:r>
      <w:r>
        <w:rPr>
          <w:rFonts w:ascii="宋体" w:hAnsi="宋体" w:eastAsia="宋体"/>
          <w:sz w:val="28"/>
          <w:szCs w:val="28"/>
        </w:rPr>
        <w:t>格式自定</w:t>
      </w:r>
      <w:r>
        <w:rPr>
          <w:rFonts w:hint="eastAsia" w:ascii="宋体" w:hAnsi="宋体" w:eastAsia="宋体"/>
          <w:sz w:val="28"/>
          <w:szCs w:val="28"/>
          <w:lang w:eastAsia="zh-CN"/>
        </w:rPr>
        <w:t>）</w:t>
      </w:r>
    </w:p>
    <w:p>
      <w:pPr>
        <w:spacing w:line="360" w:lineRule="auto"/>
        <w:ind w:firstLine="3360" w:firstLineChars="1400"/>
        <w:rPr>
          <w:rFonts w:ascii="宋体" w:hAnsi="宋体" w:eastAsia="宋体"/>
          <w:sz w:val="24"/>
        </w:rPr>
      </w:pPr>
    </w:p>
    <w:p>
      <w:pPr>
        <w:jc w:val="center"/>
        <w:rPr>
          <w:rFonts w:ascii="宋体" w:hAnsi="宋体" w:eastAsia="宋体"/>
          <w:b/>
          <w:sz w:val="30"/>
          <w:szCs w:val="30"/>
        </w:rPr>
      </w:pPr>
    </w:p>
    <w:p>
      <w:pPr>
        <w:jc w:val="center"/>
        <w:rPr>
          <w:rFonts w:ascii="宋体" w:hAnsi="宋体" w:eastAsia="宋体"/>
          <w:b/>
          <w:sz w:val="30"/>
          <w:szCs w:val="30"/>
        </w:rPr>
      </w:pPr>
    </w:p>
    <w:p>
      <w:pPr>
        <w:jc w:val="center"/>
        <w:rPr>
          <w:rFonts w:ascii="宋体" w:hAnsi="宋体" w:eastAsia="宋体"/>
          <w:b/>
          <w:sz w:val="30"/>
          <w:szCs w:val="30"/>
        </w:rPr>
      </w:pPr>
    </w:p>
    <w:p>
      <w:pPr>
        <w:jc w:val="center"/>
        <w:rPr>
          <w:rFonts w:ascii="宋体" w:hAnsi="宋体" w:eastAsia="宋体"/>
          <w:b/>
          <w:sz w:val="30"/>
          <w:szCs w:val="30"/>
        </w:rPr>
      </w:pPr>
    </w:p>
    <w:p>
      <w:pPr>
        <w:jc w:val="center"/>
        <w:rPr>
          <w:rFonts w:ascii="宋体" w:hAnsi="宋体" w:eastAsia="宋体"/>
          <w:b/>
          <w:sz w:val="30"/>
          <w:szCs w:val="30"/>
        </w:rPr>
      </w:pPr>
    </w:p>
    <w:p>
      <w:pPr>
        <w:jc w:val="center"/>
        <w:rPr>
          <w:rFonts w:ascii="宋体" w:hAnsi="宋体" w:eastAsia="宋体"/>
          <w:b/>
          <w:sz w:val="30"/>
          <w:szCs w:val="30"/>
        </w:rPr>
      </w:pPr>
    </w:p>
    <w:p>
      <w:pPr>
        <w:jc w:val="center"/>
        <w:rPr>
          <w:rFonts w:ascii="宋体" w:hAnsi="宋体" w:eastAsia="宋体"/>
          <w:b/>
          <w:sz w:val="30"/>
          <w:szCs w:val="30"/>
        </w:rPr>
      </w:pPr>
    </w:p>
    <w:p>
      <w:pPr>
        <w:jc w:val="center"/>
        <w:rPr>
          <w:rFonts w:ascii="宋体" w:hAnsi="宋体" w:eastAsia="宋体"/>
          <w:b/>
          <w:sz w:val="30"/>
          <w:szCs w:val="30"/>
        </w:rPr>
      </w:pPr>
    </w:p>
    <w:p>
      <w:pPr>
        <w:jc w:val="both"/>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1E80A"/>
    <w:multiLevelType w:val="singleLevel"/>
    <w:tmpl w:val="DB11E80A"/>
    <w:lvl w:ilvl="0" w:tentative="0">
      <w:start w:val="4"/>
      <w:numFmt w:val="decimal"/>
      <w:lvlText w:val="%1."/>
      <w:lvlJc w:val="left"/>
      <w:pPr>
        <w:tabs>
          <w:tab w:val="left" w:pos="312"/>
        </w:tabs>
        <w:ind w:left="120" w:leftChars="0" w:firstLine="0" w:firstLineChars="0"/>
      </w:pPr>
    </w:lvl>
  </w:abstractNum>
  <w:abstractNum w:abstractNumId="1">
    <w:nsid w:val="0000000A"/>
    <w:multiLevelType w:val="multilevel"/>
    <w:tmpl w:val="0000000A"/>
    <w:lvl w:ilvl="0" w:tentative="0">
      <w:start w:val="1"/>
      <w:numFmt w:val="japaneseCounting"/>
      <w:lvlText w:val="第%1章"/>
      <w:lvlJc w:val="left"/>
      <w:pPr>
        <w:tabs>
          <w:tab w:val="left" w:pos="1170"/>
        </w:tabs>
        <w:ind w:left="1170" w:hanging="1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442"/>
        </w:tabs>
        <w:ind w:left="1442"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decimal"/>
      <w:lvlText w:val="1.%1"/>
      <w:lvlJc w:val="left"/>
      <w:pPr>
        <w:tabs>
          <w:tab w:val="left" w:pos="620"/>
        </w:tabs>
        <w:ind w:left="620" w:hanging="620"/>
      </w:pPr>
      <w:rPr>
        <w:rFonts w:hint="eastAsia"/>
      </w:rPr>
    </w:lvl>
    <w:lvl w:ilvl="1" w:tentative="0">
      <w:start w:val="1"/>
      <w:numFmt w:val="lowerLetter"/>
      <w:lvlText w:val="%2)"/>
      <w:lvlJc w:val="left"/>
      <w:pPr>
        <w:tabs>
          <w:tab w:val="left" w:pos="20"/>
        </w:tabs>
        <w:ind w:left="20" w:hanging="420"/>
      </w:pPr>
    </w:lvl>
    <w:lvl w:ilvl="2" w:tentative="0">
      <w:start w:val="2"/>
      <w:numFmt w:val="decimal"/>
      <w:lvlText w:val="（%3）"/>
      <w:lvlJc w:val="left"/>
      <w:pPr>
        <w:tabs>
          <w:tab w:val="left" w:pos="740"/>
        </w:tabs>
        <w:ind w:left="740" w:hanging="720"/>
      </w:pPr>
      <w:rPr>
        <w:rFonts w:hint="default"/>
      </w:rPr>
    </w:lvl>
    <w:lvl w:ilvl="3" w:tentative="0">
      <w:start w:val="1"/>
      <w:numFmt w:val="decimal"/>
      <w:lvlText w:val="%4."/>
      <w:lvlJc w:val="left"/>
      <w:pPr>
        <w:tabs>
          <w:tab w:val="left" w:pos="860"/>
        </w:tabs>
        <w:ind w:left="860" w:hanging="420"/>
      </w:pPr>
    </w:lvl>
    <w:lvl w:ilvl="4" w:tentative="0">
      <w:start w:val="1"/>
      <w:numFmt w:val="lowerLetter"/>
      <w:lvlText w:val="%5)"/>
      <w:lvlJc w:val="left"/>
      <w:pPr>
        <w:tabs>
          <w:tab w:val="left" w:pos="1280"/>
        </w:tabs>
        <w:ind w:left="1280" w:hanging="420"/>
      </w:pPr>
    </w:lvl>
    <w:lvl w:ilvl="5" w:tentative="0">
      <w:start w:val="1"/>
      <w:numFmt w:val="lowerRoman"/>
      <w:lvlText w:val="%6."/>
      <w:lvlJc w:val="right"/>
      <w:pPr>
        <w:tabs>
          <w:tab w:val="left" w:pos="1700"/>
        </w:tabs>
        <w:ind w:left="1700" w:hanging="420"/>
      </w:pPr>
    </w:lvl>
    <w:lvl w:ilvl="6" w:tentative="0">
      <w:start w:val="1"/>
      <w:numFmt w:val="decimal"/>
      <w:lvlText w:val="%7."/>
      <w:lvlJc w:val="left"/>
      <w:pPr>
        <w:tabs>
          <w:tab w:val="left" w:pos="2120"/>
        </w:tabs>
        <w:ind w:left="2120" w:hanging="420"/>
      </w:pPr>
    </w:lvl>
    <w:lvl w:ilvl="7" w:tentative="0">
      <w:start w:val="1"/>
      <w:numFmt w:val="lowerLetter"/>
      <w:lvlText w:val="%8)"/>
      <w:lvlJc w:val="left"/>
      <w:pPr>
        <w:tabs>
          <w:tab w:val="left" w:pos="2540"/>
        </w:tabs>
        <w:ind w:left="2540" w:hanging="420"/>
      </w:pPr>
    </w:lvl>
    <w:lvl w:ilvl="8" w:tentative="0">
      <w:start w:val="1"/>
      <w:numFmt w:val="lowerRoman"/>
      <w:lvlText w:val="%9."/>
      <w:lvlJc w:val="right"/>
      <w:pPr>
        <w:tabs>
          <w:tab w:val="left" w:pos="2960"/>
        </w:tabs>
        <w:ind w:left="2960" w:hanging="420"/>
      </w:pPr>
    </w:lvl>
  </w:abstractNum>
  <w:abstractNum w:abstractNumId="4">
    <w:nsid w:val="00000012"/>
    <w:multiLevelType w:val="multilevel"/>
    <w:tmpl w:val="00000012"/>
    <w:lvl w:ilvl="0" w:tentative="0">
      <w:start w:val="1"/>
      <w:numFmt w:val="decimal"/>
      <w:lvlText w:val="(%1)"/>
      <w:lvlJc w:val="left"/>
      <w:pPr>
        <w:tabs>
          <w:tab w:val="left" w:pos="1100"/>
        </w:tabs>
        <w:ind w:left="1100" w:hanging="480"/>
      </w:pPr>
      <w:rPr>
        <w:rFonts w:hint="default"/>
      </w:rPr>
    </w:lvl>
    <w:lvl w:ilvl="1" w:tentative="0">
      <w:start w:val="1"/>
      <w:numFmt w:val="lowerLetter"/>
      <w:lvlText w:val="%2)"/>
      <w:lvlJc w:val="left"/>
      <w:pPr>
        <w:tabs>
          <w:tab w:val="left" w:pos="20"/>
        </w:tabs>
        <w:ind w:left="20" w:hanging="420"/>
      </w:pPr>
    </w:lvl>
    <w:lvl w:ilvl="2" w:tentative="0">
      <w:start w:val="1"/>
      <w:numFmt w:val="lowerRoman"/>
      <w:lvlText w:val="%3."/>
      <w:lvlJc w:val="right"/>
      <w:pPr>
        <w:tabs>
          <w:tab w:val="left" w:pos="440"/>
        </w:tabs>
        <w:ind w:left="440" w:hanging="420"/>
      </w:pPr>
    </w:lvl>
    <w:lvl w:ilvl="3" w:tentative="0">
      <w:start w:val="1"/>
      <w:numFmt w:val="decimal"/>
      <w:lvlText w:val="%4."/>
      <w:lvlJc w:val="left"/>
      <w:pPr>
        <w:tabs>
          <w:tab w:val="left" w:pos="860"/>
        </w:tabs>
        <w:ind w:left="860" w:hanging="420"/>
      </w:pPr>
    </w:lvl>
    <w:lvl w:ilvl="4" w:tentative="0">
      <w:start w:val="1"/>
      <w:numFmt w:val="lowerLetter"/>
      <w:lvlText w:val="%5)"/>
      <w:lvlJc w:val="left"/>
      <w:pPr>
        <w:tabs>
          <w:tab w:val="left" w:pos="1280"/>
        </w:tabs>
        <w:ind w:left="1280" w:hanging="420"/>
      </w:pPr>
    </w:lvl>
    <w:lvl w:ilvl="5" w:tentative="0">
      <w:start w:val="1"/>
      <w:numFmt w:val="lowerRoman"/>
      <w:lvlText w:val="%6."/>
      <w:lvlJc w:val="right"/>
      <w:pPr>
        <w:tabs>
          <w:tab w:val="left" w:pos="1700"/>
        </w:tabs>
        <w:ind w:left="1700" w:hanging="420"/>
      </w:pPr>
    </w:lvl>
    <w:lvl w:ilvl="6" w:tentative="0">
      <w:start w:val="1"/>
      <w:numFmt w:val="decimal"/>
      <w:lvlText w:val="%7."/>
      <w:lvlJc w:val="left"/>
      <w:pPr>
        <w:tabs>
          <w:tab w:val="left" w:pos="2120"/>
        </w:tabs>
        <w:ind w:left="2120" w:hanging="420"/>
      </w:pPr>
    </w:lvl>
    <w:lvl w:ilvl="7" w:tentative="0">
      <w:start w:val="1"/>
      <w:numFmt w:val="lowerLetter"/>
      <w:lvlText w:val="%8)"/>
      <w:lvlJc w:val="left"/>
      <w:pPr>
        <w:tabs>
          <w:tab w:val="left" w:pos="2540"/>
        </w:tabs>
        <w:ind w:left="2540" w:hanging="420"/>
      </w:pPr>
    </w:lvl>
    <w:lvl w:ilvl="8" w:tentative="0">
      <w:start w:val="1"/>
      <w:numFmt w:val="lowerRoman"/>
      <w:lvlText w:val="%9."/>
      <w:lvlJc w:val="right"/>
      <w:pPr>
        <w:tabs>
          <w:tab w:val="left" w:pos="2960"/>
        </w:tabs>
        <w:ind w:left="2960" w:hanging="420"/>
      </w:pPr>
    </w:lvl>
  </w:abstractNum>
  <w:abstractNum w:abstractNumId="5">
    <w:nsid w:val="587D0E54"/>
    <w:multiLevelType w:val="multilevel"/>
    <w:tmpl w:val="587D0E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720"/>
        </w:tabs>
        <w:ind w:left="720" w:hanging="720"/>
      </w:pPr>
    </w:lvl>
    <w:lvl w:ilvl="3" w:tentative="0">
      <w:start w:val="1"/>
      <w:numFmt w:val="decimal"/>
      <w:lvlText w:val="%1.%2.%3.%4"/>
      <w:lvlJc w:val="left"/>
      <w:pPr>
        <w:tabs>
          <w:tab w:val="left" w:pos="1404"/>
        </w:tabs>
        <w:ind w:left="140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66137876"/>
    <w:multiLevelType w:val="singleLevel"/>
    <w:tmpl w:val="66137876"/>
    <w:lvl w:ilvl="0" w:tentative="0">
      <w:start w:val="1"/>
      <w:numFmt w:val="chineseCounting"/>
      <w:suff w:val="space"/>
      <w:lvlText w:val="第%1章"/>
      <w:lvlJc w:val="left"/>
    </w:lvl>
  </w:abstractNum>
  <w:abstractNum w:abstractNumId="7">
    <w:nsid w:val="66137886"/>
    <w:multiLevelType w:val="singleLevel"/>
    <w:tmpl w:val="66137886"/>
    <w:lvl w:ilvl="0" w:tentative="0">
      <w:start w:val="1"/>
      <w:numFmt w:val="chineseCounting"/>
      <w:suff w:val="nothing"/>
      <w:lvlText w:val="%1、"/>
      <w:lvlJc w:val="left"/>
    </w:lvl>
  </w:abstractNum>
  <w:num w:numId="1">
    <w:abstractNumId w:val="5"/>
  </w:num>
  <w:num w:numId="2">
    <w:abstractNumId w:val="1"/>
  </w:num>
  <w:num w:numId="3">
    <w:abstractNumId w:val="6"/>
  </w:num>
  <w:num w:numId="4">
    <w:abstractNumId w:val="7"/>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NTIzYzZkNGMxMDA2MWMxOWFjNTI4Y2I2MTA5ZjIifQ=="/>
    <w:docVar w:name="KSO_WPS_MARK_KEY" w:val="68afaa46-8f73-405b-83f6-3aba80bcdb31"/>
  </w:docVars>
  <w:rsids>
    <w:rsidRoot w:val="63590DFB"/>
    <w:rsid w:val="0048184A"/>
    <w:rsid w:val="00AE6DFC"/>
    <w:rsid w:val="010B14CA"/>
    <w:rsid w:val="09886A5E"/>
    <w:rsid w:val="09C12D72"/>
    <w:rsid w:val="0CFD3EF1"/>
    <w:rsid w:val="0E9877F3"/>
    <w:rsid w:val="0ECA7307"/>
    <w:rsid w:val="0EEF0061"/>
    <w:rsid w:val="0FC11C61"/>
    <w:rsid w:val="11521F02"/>
    <w:rsid w:val="125E7697"/>
    <w:rsid w:val="139560C0"/>
    <w:rsid w:val="14C5008A"/>
    <w:rsid w:val="14E45836"/>
    <w:rsid w:val="14EE551C"/>
    <w:rsid w:val="183179C2"/>
    <w:rsid w:val="19B64ECA"/>
    <w:rsid w:val="1B2F50C2"/>
    <w:rsid w:val="1D5624D4"/>
    <w:rsid w:val="1E5F7B0D"/>
    <w:rsid w:val="29FF0355"/>
    <w:rsid w:val="2CB0676A"/>
    <w:rsid w:val="2E7E67BF"/>
    <w:rsid w:val="2F1467AF"/>
    <w:rsid w:val="30592D3D"/>
    <w:rsid w:val="30F0394A"/>
    <w:rsid w:val="316432E5"/>
    <w:rsid w:val="382E7119"/>
    <w:rsid w:val="3C07598C"/>
    <w:rsid w:val="3EF618CF"/>
    <w:rsid w:val="3F471246"/>
    <w:rsid w:val="41B3484A"/>
    <w:rsid w:val="43C5658C"/>
    <w:rsid w:val="491159DD"/>
    <w:rsid w:val="494851AA"/>
    <w:rsid w:val="4A277C0F"/>
    <w:rsid w:val="4A8F37B9"/>
    <w:rsid w:val="4A9B1996"/>
    <w:rsid w:val="4AC74B13"/>
    <w:rsid w:val="4FFE4A87"/>
    <w:rsid w:val="55515FBE"/>
    <w:rsid w:val="55862FA7"/>
    <w:rsid w:val="564222BC"/>
    <w:rsid w:val="59117C1A"/>
    <w:rsid w:val="5D93272E"/>
    <w:rsid w:val="5DDF266B"/>
    <w:rsid w:val="6143654D"/>
    <w:rsid w:val="61CF36EC"/>
    <w:rsid w:val="63590DFB"/>
    <w:rsid w:val="64161ED3"/>
    <w:rsid w:val="6892269A"/>
    <w:rsid w:val="6BF86D76"/>
    <w:rsid w:val="6CA24BA1"/>
    <w:rsid w:val="6D972B17"/>
    <w:rsid w:val="6ECC1011"/>
    <w:rsid w:val="7031273B"/>
    <w:rsid w:val="711E7547"/>
    <w:rsid w:val="71A646BD"/>
    <w:rsid w:val="72012527"/>
    <w:rsid w:val="7367545E"/>
    <w:rsid w:val="75C37A55"/>
    <w:rsid w:val="76CF7DE9"/>
    <w:rsid w:val="7778584C"/>
    <w:rsid w:val="785B6CA0"/>
    <w:rsid w:val="796E69BB"/>
    <w:rsid w:val="7A9A6727"/>
    <w:rsid w:val="7B96537E"/>
    <w:rsid w:val="7BFE3AA9"/>
    <w:rsid w:val="7EB95475"/>
    <w:rsid w:val="7F497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unhideWhenUsed/>
    <w:qFormat/>
    <w:uiPriority w:val="0"/>
    <w:pPr>
      <w:keepNext/>
      <w:keepLines/>
      <w:spacing w:line="415" w:lineRule="auto"/>
      <w:outlineLvl w:val="1"/>
    </w:pPr>
    <w:rPr>
      <w:rFonts w:ascii="Arial" w:hAnsi="Arial" w:cs="Arial"/>
      <w:b/>
      <w:bCs/>
    </w:rPr>
  </w:style>
  <w:style w:type="paragraph" w:styleId="7">
    <w:name w:val="heading 3"/>
    <w:basedOn w:val="1"/>
    <w:next w:val="1"/>
    <w:unhideWhenUsed/>
    <w:qFormat/>
    <w:uiPriority w:val="0"/>
    <w:pPr>
      <w:keepNext/>
      <w:keepLines/>
      <w:widowControl w:val="0"/>
      <w:numPr>
        <w:ilvl w:val="2"/>
        <w:numId w:val="1"/>
      </w:numPr>
      <w:spacing w:before="260" w:after="260" w:line="416" w:lineRule="auto"/>
      <w:jc w:val="both"/>
      <w:outlineLvl w:val="2"/>
    </w:pPr>
    <w:rPr>
      <w:rFonts w:ascii="Times New Roman" w:hAnsi="Times New Roman"/>
      <w:b/>
      <w:bCs/>
      <w:kern w:val="2"/>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ind w:left="420" w:leftChars="200" w:firstLine="420" w:firstLineChars="200"/>
    </w:pPr>
    <w:rPr>
      <w:sz w:val="21"/>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rPr>
      <w:sz w:val="28"/>
      <w:szCs w:val="20"/>
    </w:rPr>
  </w:style>
  <w:style w:type="paragraph" w:styleId="8">
    <w:name w:val="Normal Indent"/>
    <w:basedOn w:val="1"/>
    <w:qFormat/>
    <w:uiPriority w:val="0"/>
    <w:pPr>
      <w:ind w:firstLine="420"/>
    </w:pPr>
    <w:rPr>
      <w:szCs w:val="20"/>
    </w:rPr>
  </w:style>
  <w:style w:type="paragraph" w:styleId="9">
    <w:name w:val="Body Text"/>
    <w:basedOn w:val="1"/>
    <w:next w:val="10"/>
    <w:qFormat/>
    <w:uiPriority w:val="0"/>
    <w:rPr>
      <w:rFonts w:ascii="仿宋_GB2312" w:eastAsia="仿宋_GB2312"/>
      <w:sz w:val="32"/>
    </w:rPr>
  </w:style>
  <w:style w:type="paragraph" w:customStyle="1" w:styleId="10">
    <w:name w:val="Quote"/>
    <w:basedOn w:val="1"/>
    <w:next w:val="1"/>
    <w:qFormat/>
    <w:uiPriority w:val="29"/>
    <w:pPr>
      <w:spacing w:beforeLines="50" w:afterLines="50" w:line="360" w:lineRule="auto"/>
    </w:pPr>
    <w:rPr>
      <w:i/>
      <w:iCs/>
      <w:color w:val="000000"/>
      <w:szCs w:val="24"/>
      <w:lang w:val="zh-CN"/>
    </w:rPr>
  </w:style>
  <w:style w:type="paragraph" w:styleId="11">
    <w:name w:val="Plain Text"/>
    <w:basedOn w:val="1"/>
    <w:qFormat/>
    <w:uiPriority w:val="0"/>
    <w:rPr>
      <w:rFonts w:ascii="宋体" w:hAnsi="Courier New" w:eastAsia="宋体"/>
      <w:spacing w:val="-20"/>
      <w:w w:val="50"/>
      <w:szCs w:val="20"/>
    </w:rPr>
  </w:style>
  <w:style w:type="paragraph" w:styleId="12">
    <w:name w:val="Date"/>
    <w:basedOn w:val="1"/>
    <w:next w:val="1"/>
    <w:qFormat/>
    <w:uiPriority w:val="0"/>
    <w:rPr>
      <w:rFonts w:ascii="Arial" w:hAnsi="Arial" w:eastAsia="宋体" w:cs="Arial"/>
      <w:b/>
      <w:sz w:val="2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able of figures"/>
    <w:basedOn w:val="1"/>
    <w:next w:val="1"/>
    <w:qFormat/>
    <w:uiPriority w:val="0"/>
    <w:pPr>
      <w:ind w:leftChars="200" w:hanging="200" w:hangingChars="200"/>
    </w:pPr>
  </w:style>
  <w:style w:type="paragraph" w:styleId="16">
    <w:name w:val="Body Text First Indent"/>
    <w:basedOn w:val="9"/>
    <w:qFormat/>
    <w:uiPriority w:val="0"/>
    <w:pPr>
      <w:tabs>
        <w:tab w:val="left" w:pos="1418"/>
      </w:tabs>
      <w:autoSpaceDE w:val="0"/>
      <w:autoSpaceDN w:val="0"/>
      <w:adjustRightInd w:val="0"/>
      <w:spacing w:before="120"/>
      <w:ind w:left="1418" w:hanging="567"/>
      <w:jc w:val="left"/>
    </w:pPr>
    <w:rPr>
      <w:rFonts w:ascii="宋体" w:hAnsi="Arial" w:eastAsia="PMingLiU"/>
      <w:kern w:val="0"/>
      <w:sz w:val="28"/>
      <w:lang w:eastAsia="zh-TW"/>
    </w:rPr>
  </w:style>
  <w:style w:type="table" w:styleId="18">
    <w:name w:val="Table Grid"/>
    <w:basedOn w:val="17"/>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
    <w:name w:val="H1"/>
    <w:basedOn w:val="6"/>
    <w:next w:val="1"/>
    <w:qFormat/>
    <w:uiPriority w:val="0"/>
    <w:pPr>
      <w:spacing w:line="600" w:lineRule="exact"/>
      <w:jc w:val="center"/>
    </w:pPr>
    <w:rPr>
      <w:rFonts w:ascii="宋体" w:hAnsi="宋体" w:eastAsia="黑体" w:cs="宋体"/>
      <w:color w:val="000000"/>
      <w:sz w:val="32"/>
      <w:szCs w:val="32"/>
    </w:rPr>
  </w:style>
  <w:style w:type="paragraph" w:customStyle="1" w:styleId="21">
    <w:name w:val="p0"/>
    <w:basedOn w:val="1"/>
    <w:qFormat/>
    <w:uiPriority w:val="0"/>
    <w:pPr>
      <w:widowControl/>
    </w:pPr>
    <w:rPr>
      <w:rFonts w:ascii="Calibri" w:hAnsi="Calibri" w:eastAsia="宋体" w:cs="宋体"/>
      <w:kern w:val="0"/>
      <w:szCs w:val="21"/>
    </w:rPr>
  </w:style>
  <w:style w:type="paragraph" w:customStyle="1" w:styleId="22">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10745</Words>
  <Characters>11186</Characters>
  <Lines>0</Lines>
  <Paragraphs>0</Paragraphs>
  <TotalTime>6</TotalTime>
  <ScaleCrop>false</ScaleCrop>
  <LinksUpToDate>false</LinksUpToDate>
  <CharactersWithSpaces>11641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2024-04-08T03:48:00Z</dcterms:created>
  <dc:creator>Administrator</dc:creator>
  <cp:lastModifiedBy>凌宵</cp:lastModifiedBy>
  <cp:lastPrinted>2024-05-30T03:32:00Z</cp:lastPrinted>
  <dcterms:modified xsi:type="dcterms:W3CDTF">2024-05-31T00:29:40Z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AE2EC6C0D7C44B56A6BF43F72B7A8BB6_13</vt:lpwstr>
  </property>
</Properties>
</file>